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2E" w:rsidRPr="00CD6C2E" w:rsidRDefault="00CD6C2E" w:rsidP="00CD6C2E">
      <w:pPr>
        <w:jc w:val="center"/>
        <w:rPr>
          <w:rFonts w:asciiTheme="minorHAnsi" w:hAnsiTheme="minorHAnsi"/>
          <w:b/>
          <w:bCs/>
          <w:shadow/>
        </w:rPr>
      </w:pPr>
      <w:r w:rsidRPr="00CD6C2E">
        <w:rPr>
          <w:rFonts w:asciiTheme="minorHAnsi" w:hAnsiTheme="minorHAnsi"/>
          <w:b/>
          <w:bCs/>
          <w:shadow/>
          <w:color w:val="000000"/>
        </w:rPr>
        <w:t>Πολεοδομικό ιστορικό του Ο.Τ. 33 Δήμου Λυκόβρυσης - Πεύκης</w:t>
      </w:r>
    </w:p>
    <w:p w:rsidR="00CD6C2E" w:rsidRPr="00CD6C2E" w:rsidRDefault="00CD6C2E" w:rsidP="00CD6C2E">
      <w:pPr>
        <w:jc w:val="center"/>
        <w:rPr>
          <w:rFonts w:asciiTheme="minorHAnsi" w:hAnsiTheme="minorHAnsi"/>
          <w:shadow/>
        </w:rPr>
      </w:pPr>
    </w:p>
    <w:p w:rsidR="00CD6C2E" w:rsidRPr="00CD6C2E" w:rsidRDefault="00CD6C2E" w:rsidP="00CD6C2E">
      <w:pPr>
        <w:rPr>
          <w:rFonts w:asciiTheme="minorHAnsi" w:hAnsiTheme="minorHAnsi"/>
          <w:shadow/>
        </w:rPr>
      </w:pPr>
      <w:r w:rsidRPr="00CD6C2E">
        <w:rPr>
          <w:rFonts w:asciiTheme="minorHAnsi" w:hAnsiTheme="minorHAnsi"/>
          <w:shadow/>
        </w:rPr>
        <w:tab/>
        <w:t xml:space="preserve">Με το από 27.8/21.9.1970 </w:t>
      </w:r>
      <w:proofErr w:type="spellStart"/>
      <w:r w:rsidRPr="00CD6C2E">
        <w:rPr>
          <w:rFonts w:asciiTheme="minorHAnsi" w:hAnsiTheme="minorHAnsi"/>
          <w:shadow/>
        </w:rPr>
        <w:t>β.δ</w:t>
      </w:r>
      <w:proofErr w:type="spellEnd"/>
      <w:r w:rsidRPr="00CD6C2E">
        <w:rPr>
          <w:rFonts w:asciiTheme="minorHAnsi" w:hAnsiTheme="minorHAnsi"/>
          <w:shadow/>
        </w:rPr>
        <w:t xml:space="preserve">. (Δ΄ 202) «περί τροποποιήσεως και επεκτάσεως του ρυμοτομικού σχεδίου Λυκόβρυσης Αττικής και καθορισμού των όρων και περιορισμών δομήσεως των οικοπέδων αυτού» το οικοδομικό τετράγωνο 33 του Δήμου Λυκόβρυσης χαρακτηρίσθηκε ως χώρος αθλητικών εγκαταστάσεων. </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 xml:space="preserve">Ο χαρακτηρισμός αυτός διατηρήθηκε και από το </w:t>
      </w:r>
      <w:proofErr w:type="spellStart"/>
      <w:r w:rsidRPr="00CD6C2E">
        <w:rPr>
          <w:rFonts w:asciiTheme="minorHAnsi" w:hAnsiTheme="minorHAnsi"/>
          <w:shadow/>
        </w:rPr>
        <w:t>π.δ</w:t>
      </w:r>
      <w:proofErr w:type="spellEnd"/>
      <w:r w:rsidRPr="00CD6C2E">
        <w:rPr>
          <w:rFonts w:asciiTheme="minorHAnsi" w:hAnsiTheme="minorHAnsi"/>
          <w:shadow/>
        </w:rPr>
        <w:t xml:space="preserve">. της 13.6/2.7.1977, με το οποίο επήλθε μερική αναθεώρηση του ρυμοτομικού σχεδίου του Δήμου. </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 xml:space="preserve">Κατόπιν τούτου, η ΑΓΕΤ - ΗΡΑΚΛΗΣ, η οποία φαίνεται ως κυρία, νομέας και κάτοχος του παραπάνω ακινήτου, εμβαδού 13.658,91 </w:t>
      </w:r>
      <w:proofErr w:type="spellStart"/>
      <w:r w:rsidRPr="00CD6C2E">
        <w:rPr>
          <w:rFonts w:asciiTheme="minorHAnsi" w:hAnsiTheme="minorHAnsi"/>
          <w:shadow/>
        </w:rPr>
        <w:t>τ.μ</w:t>
      </w:r>
      <w:proofErr w:type="spellEnd"/>
      <w:r w:rsidRPr="00CD6C2E">
        <w:rPr>
          <w:rFonts w:asciiTheme="minorHAnsi" w:hAnsiTheme="minorHAnsi"/>
          <w:shadow/>
        </w:rPr>
        <w:t>., με αίτησή της προς τη Διεύθυνση Πολεοδομικού Σχεδιασμού του Υπουργείου Περιβάλλοντος , Χωροταξίας και Δημοσίων Έργων, ζήτησε τον αποχαρακτηρισμό του επιδίκου ακινήτου, η δε αίτησή της αυτή απορρίφθηκε με απόφαση του Γενικού Γραμματέα του εν λόγω Υπουργείου.</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Κατά της πράξης αυτής ασκήθηκε αίτηση ακυρώσεως από την παραπάνω εταιρεία, η οποία έγινε δεκτή με την 2176/1995 απόφαση του Συμβουλίου Επικρατείας και παραπέμφθηκε η υπόθεση στη Διοίκηση προκειμένου αυτή να άρει, με τροποποίηση του οικείου ρυμοτομικού σχεδίου, τον επίδικο χαρακτηρισμό.</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 xml:space="preserve">Ακολούθως, εκδόθηκε η </w:t>
      </w:r>
      <w:proofErr w:type="spellStart"/>
      <w:r w:rsidRPr="00CD6C2E">
        <w:rPr>
          <w:rFonts w:asciiTheme="minorHAnsi" w:hAnsiTheme="minorHAnsi"/>
          <w:shadow/>
        </w:rPr>
        <w:t>υπ΄</w:t>
      </w:r>
      <w:proofErr w:type="spellEnd"/>
      <w:r w:rsidRPr="00CD6C2E">
        <w:rPr>
          <w:rFonts w:asciiTheme="minorHAnsi" w:hAnsiTheme="minorHAnsi"/>
          <w:shadow/>
        </w:rPr>
        <w:t xml:space="preserve"> </w:t>
      </w:r>
      <w:proofErr w:type="spellStart"/>
      <w:r w:rsidRPr="00CD6C2E">
        <w:rPr>
          <w:rFonts w:asciiTheme="minorHAnsi" w:hAnsiTheme="minorHAnsi"/>
          <w:shadow/>
        </w:rPr>
        <w:t>αριθμ</w:t>
      </w:r>
      <w:proofErr w:type="spellEnd"/>
      <w:r w:rsidRPr="00CD6C2E">
        <w:rPr>
          <w:rFonts w:asciiTheme="minorHAnsi" w:hAnsiTheme="minorHAnsi"/>
          <w:shadow/>
        </w:rPr>
        <w:t xml:space="preserve">. 132/23-06-2006 απόφαση του εν λόγω Δήμου, με την οποία αποφασίσθηκε να </w:t>
      </w:r>
      <w:proofErr w:type="spellStart"/>
      <w:r w:rsidRPr="00CD6C2E">
        <w:rPr>
          <w:rFonts w:asciiTheme="minorHAnsi" w:hAnsiTheme="minorHAnsi"/>
          <w:shadow/>
        </w:rPr>
        <w:t>επανεπιβληθεί</w:t>
      </w:r>
      <w:proofErr w:type="spellEnd"/>
      <w:r w:rsidRPr="00CD6C2E">
        <w:rPr>
          <w:rFonts w:asciiTheme="minorHAnsi" w:hAnsiTheme="minorHAnsi"/>
          <w:shadow/>
        </w:rPr>
        <w:t xml:space="preserve"> για την ίδια αιτία απαλλοτρίωση στο εν λόγω ακίνητο με την πρόθεση και δυνατότητα για την καταβολή άμεσης αποζημίωσης και την εγγραφή της σχετικής πίστωσης στον προϋπολογισμό του οικονομικού έτους 2006 του Δήμου.</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 xml:space="preserve"> Ένσταση της εταιρείας κατά της παραπάνω πράξης, απορρίφθηκε με την </w:t>
      </w:r>
      <w:proofErr w:type="spellStart"/>
      <w:r w:rsidRPr="00CD6C2E">
        <w:rPr>
          <w:rFonts w:asciiTheme="minorHAnsi" w:hAnsiTheme="minorHAnsi"/>
          <w:shadow/>
        </w:rPr>
        <w:t>υπ΄</w:t>
      </w:r>
      <w:proofErr w:type="spellEnd"/>
      <w:r w:rsidRPr="00CD6C2E">
        <w:rPr>
          <w:rFonts w:asciiTheme="minorHAnsi" w:hAnsiTheme="minorHAnsi"/>
          <w:shadow/>
        </w:rPr>
        <w:t xml:space="preserve"> </w:t>
      </w:r>
      <w:proofErr w:type="spellStart"/>
      <w:r w:rsidRPr="00CD6C2E">
        <w:rPr>
          <w:rFonts w:asciiTheme="minorHAnsi" w:hAnsiTheme="minorHAnsi"/>
          <w:shadow/>
        </w:rPr>
        <w:t>αριθμ</w:t>
      </w:r>
      <w:proofErr w:type="spellEnd"/>
      <w:r w:rsidRPr="00CD6C2E">
        <w:rPr>
          <w:rFonts w:asciiTheme="minorHAnsi" w:hAnsiTheme="minorHAnsi"/>
          <w:shadow/>
        </w:rPr>
        <w:t xml:space="preserve">. 193/10-11-2006 πράξη του ίδιου Δημοτικού Συμβουλίου.          </w:t>
      </w:r>
    </w:p>
    <w:p w:rsidR="00CD6C2E" w:rsidRDefault="00CD6C2E" w:rsidP="00CD6C2E">
      <w:pPr>
        <w:rPr>
          <w:rFonts w:asciiTheme="minorHAnsi" w:hAnsiTheme="minorHAnsi"/>
          <w:shadow/>
        </w:rPr>
      </w:pPr>
      <w:r w:rsidRPr="00CD6C2E">
        <w:rPr>
          <w:rFonts w:asciiTheme="minorHAnsi" w:hAnsiTheme="minorHAnsi"/>
          <w:shadow/>
        </w:rPr>
        <w:tab/>
      </w:r>
    </w:p>
    <w:p w:rsidR="00CD6C2E" w:rsidRPr="00CD6C2E" w:rsidRDefault="00CD6C2E" w:rsidP="00CD6C2E">
      <w:pPr>
        <w:rPr>
          <w:rFonts w:asciiTheme="minorHAnsi" w:hAnsiTheme="minorHAnsi"/>
          <w:shadow/>
        </w:rPr>
      </w:pPr>
      <w:r w:rsidRPr="00CD6C2E">
        <w:rPr>
          <w:rFonts w:asciiTheme="minorHAnsi" w:hAnsiTheme="minorHAnsi"/>
          <w:shadow/>
        </w:rPr>
        <w:t xml:space="preserve">Κατά των παραπάνω αποφάσεων, η ΑΓΕΤ – ΗΡΑΚΛΗΣ, άσκησε αίτηση ακυρώσεως ενώπιον του Συμβουλίου της Επικρατείας, επί της οποίας εκδόθηκε η </w:t>
      </w:r>
      <w:proofErr w:type="spellStart"/>
      <w:r w:rsidRPr="00CD6C2E">
        <w:rPr>
          <w:rFonts w:asciiTheme="minorHAnsi" w:hAnsiTheme="minorHAnsi"/>
          <w:shadow/>
        </w:rPr>
        <w:t>υπ΄</w:t>
      </w:r>
      <w:proofErr w:type="spellEnd"/>
      <w:r w:rsidRPr="00CD6C2E">
        <w:rPr>
          <w:rFonts w:asciiTheme="minorHAnsi" w:hAnsiTheme="minorHAnsi"/>
          <w:shadow/>
        </w:rPr>
        <w:t xml:space="preserve"> αρ. 979/2015 απόφαση, η οποία απέρριψε την αίτηση της εταιρείας, με την αιτιολογία ότι οι προσβαλλόμενες πράξεις του Δημοτικού Συμβουλίου (Λυκόβρυσης) συνιστούν</w:t>
      </w:r>
      <w:r w:rsidRPr="00CD6C2E">
        <w:rPr>
          <w:rFonts w:asciiTheme="minorHAnsi" w:hAnsiTheme="minorHAnsi"/>
          <w:b/>
          <w:bCs/>
          <w:shadow/>
        </w:rPr>
        <w:t xml:space="preserve"> απλές γνωμοδοτήσεις, </w:t>
      </w:r>
      <w:r w:rsidRPr="00CD6C2E">
        <w:rPr>
          <w:rFonts w:asciiTheme="minorHAnsi" w:hAnsiTheme="minorHAnsi"/>
          <w:shadow/>
        </w:rPr>
        <w:t xml:space="preserve">που εντάσσονται στη διαδικασία τροποποίησης του σχεδίου πόλεως </w:t>
      </w:r>
      <w:r w:rsidRPr="00CD6C2E">
        <w:rPr>
          <w:rFonts w:asciiTheme="minorHAnsi" w:hAnsiTheme="minorHAnsi"/>
          <w:b/>
          <w:bCs/>
          <w:shadow/>
        </w:rPr>
        <w:t xml:space="preserve">και δεν έχουν εκτελεστό χαρακτήρα. </w:t>
      </w:r>
    </w:p>
    <w:p w:rsidR="00CD6C2E" w:rsidRDefault="00CD6C2E" w:rsidP="00CD6C2E">
      <w:pPr>
        <w:jc w:val="both"/>
        <w:rPr>
          <w:rFonts w:asciiTheme="minorHAnsi" w:hAnsiTheme="minorHAnsi"/>
          <w:shadow/>
        </w:rPr>
      </w:pPr>
    </w:p>
    <w:p w:rsidR="00CD6C2E" w:rsidRPr="00CD6C2E" w:rsidRDefault="00CD6C2E" w:rsidP="00CD6C2E">
      <w:pPr>
        <w:jc w:val="both"/>
        <w:rPr>
          <w:rFonts w:asciiTheme="minorHAnsi" w:hAnsiTheme="minorHAnsi"/>
          <w:shadow/>
        </w:rPr>
      </w:pPr>
      <w:r w:rsidRPr="00CD6C2E">
        <w:rPr>
          <w:rFonts w:asciiTheme="minorHAnsi" w:hAnsiTheme="minorHAnsi"/>
          <w:shadow/>
        </w:rPr>
        <w:t xml:space="preserve">Βέβαια στο σκεπτικό της εν λόγω αποφάσεως, αναφέρεται ότι οι εκτεθείσες σ’ αυτό διατάξεις της πολεοδομικής νομοθεσίας, </w:t>
      </w:r>
      <w:r w:rsidRPr="00CD6C2E">
        <w:rPr>
          <w:rFonts w:asciiTheme="minorHAnsi" w:hAnsiTheme="minorHAnsi"/>
          <w:b/>
          <w:bCs/>
          <w:shadow/>
          <w:u w:val="single"/>
        </w:rPr>
        <w:t>δεν παρέχουν αρμοδιότητα στους δήμους και ειδικότερα στο οικείο δημοτικό συμβούλιο να προβαίνουν στην άρση</w:t>
      </w:r>
      <w:r w:rsidRPr="00CD6C2E">
        <w:rPr>
          <w:rFonts w:asciiTheme="minorHAnsi" w:hAnsiTheme="minorHAnsi"/>
          <w:shadow/>
        </w:rPr>
        <w:t xml:space="preserve"> </w:t>
      </w:r>
      <w:r w:rsidRPr="00CD6C2E">
        <w:rPr>
          <w:rFonts w:asciiTheme="minorHAnsi" w:hAnsiTheme="minorHAnsi"/>
          <w:b/>
          <w:bCs/>
          <w:shadow/>
        </w:rPr>
        <w:t xml:space="preserve">και </w:t>
      </w:r>
      <w:proofErr w:type="spellStart"/>
      <w:r w:rsidRPr="00CD6C2E">
        <w:rPr>
          <w:rFonts w:asciiTheme="minorHAnsi" w:hAnsiTheme="minorHAnsi"/>
          <w:b/>
          <w:bCs/>
          <w:shadow/>
        </w:rPr>
        <w:t>επανεπιβολή</w:t>
      </w:r>
      <w:proofErr w:type="spellEnd"/>
      <w:r w:rsidRPr="00CD6C2E">
        <w:rPr>
          <w:rFonts w:asciiTheme="minorHAnsi" w:hAnsiTheme="minorHAnsi"/>
          <w:b/>
          <w:bCs/>
          <w:shadow/>
        </w:rPr>
        <w:t xml:space="preserve">   ρυμοτομικής απαλλοτρίωσης,</w:t>
      </w:r>
      <w:r w:rsidRPr="00CD6C2E">
        <w:rPr>
          <w:rFonts w:asciiTheme="minorHAnsi" w:hAnsiTheme="minorHAnsi"/>
          <w:shadow/>
        </w:rPr>
        <w:t xml:space="preserve"> τέτοια δε αρμοδιότητα δεν προβλέπεται ούτε από τις διατάξεις του Δημοτικού και Κοινοτικού Κώδικα, ούτε από κάποια άλλη διάταξη της κείμενης νομοθεσίας. </w:t>
      </w:r>
    </w:p>
    <w:p w:rsidR="00F4176F" w:rsidRPr="00CD6C2E" w:rsidRDefault="00F4176F" w:rsidP="00CD6C2E">
      <w:pPr>
        <w:rPr>
          <w:rFonts w:asciiTheme="minorHAnsi" w:hAnsiTheme="minorHAnsi"/>
          <w:shadow/>
        </w:rPr>
      </w:pPr>
    </w:p>
    <w:sectPr w:rsidR="00F4176F" w:rsidRPr="00CD6C2E" w:rsidSect="00F417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D6C2E"/>
    <w:rsid w:val="00CD6C2E"/>
    <w:rsid w:val="00F417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C2E"/>
    <w:pPr>
      <w:spacing w:after="0" w:line="240" w:lineRule="auto"/>
    </w:pPr>
    <w:rPr>
      <w:rFonts w:ascii="Calibri" w:eastAsia="Times New Roman" w:hAnsi="Calibri" w:cs="Times New Roman"/>
      <w:color w:val="00000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2104</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2017-03-02T17:46:00Z</dcterms:created>
  <dcterms:modified xsi:type="dcterms:W3CDTF">2017-03-02T17:46:00Z</dcterms:modified>
</cp:coreProperties>
</file>