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EFEFEF"/>
        <w:tblCellMar>
          <w:left w:w="0" w:type="dxa"/>
          <w:right w:w="0" w:type="dxa"/>
        </w:tblCellMar>
        <w:tblLook w:val="04A0"/>
      </w:tblPr>
      <w:tblGrid>
        <w:gridCol w:w="8306"/>
      </w:tblGrid>
      <w:tr w:rsidR="00583928" w:rsidRPr="00583928" w:rsidTr="00583928">
        <w:trPr>
          <w:tblCellSpacing w:w="0" w:type="dxa"/>
        </w:trPr>
        <w:tc>
          <w:tcPr>
            <w:tcW w:w="0" w:type="auto"/>
            <w:shd w:val="clear" w:color="auto" w:fill="EFEFEF"/>
            <w:vAlign w:val="center"/>
            <w:hideMark/>
          </w:tcPr>
          <w:p w:rsidR="00583928" w:rsidRPr="00583928" w:rsidRDefault="00583928" w:rsidP="00583928">
            <w:pPr>
              <w:spacing w:after="0" w:line="240" w:lineRule="auto"/>
              <w:rPr>
                <w:rFonts w:ascii="Arial" w:eastAsia="Times New Roman" w:hAnsi="Arial" w:cs="Arial"/>
                <w:b/>
                <w:bCs/>
                <w:color w:val="5F5E5C"/>
                <w:sz w:val="21"/>
                <w:szCs w:val="21"/>
                <w:lang w:eastAsia="el-GR"/>
              </w:rPr>
            </w:pPr>
          </w:p>
        </w:tc>
      </w:tr>
      <w:tr w:rsidR="00583928" w:rsidRPr="00583928" w:rsidTr="00583928">
        <w:trPr>
          <w:tblCellSpacing w:w="0" w:type="dxa"/>
        </w:trPr>
        <w:tc>
          <w:tcPr>
            <w:tcW w:w="0" w:type="auto"/>
            <w:shd w:val="clear" w:color="auto" w:fill="EFEFEF"/>
            <w:hideMark/>
          </w:tcPr>
          <w:p w:rsidR="00583928" w:rsidRPr="00583928" w:rsidRDefault="00583928" w:rsidP="00583928">
            <w:pPr>
              <w:spacing w:after="0" w:line="240" w:lineRule="auto"/>
              <w:rPr>
                <w:rFonts w:ascii="Arial" w:eastAsia="Times New Roman" w:hAnsi="Arial" w:cs="Arial"/>
                <w:color w:val="5F5E5C"/>
                <w:sz w:val="20"/>
                <w:szCs w:val="20"/>
                <w:lang w:eastAsia="el-GR"/>
              </w:rPr>
            </w:pPr>
            <w:r w:rsidRPr="00583928">
              <w:rPr>
                <w:rFonts w:ascii="Arial" w:eastAsia="Times New Roman" w:hAnsi="Arial" w:cs="Arial"/>
                <w:color w:val="5F5E5C"/>
                <w:sz w:val="20"/>
                <w:szCs w:val="20"/>
                <w:lang w:eastAsia="el-GR"/>
              </w:rPr>
              <w:br/>
            </w:r>
          </w:p>
          <w:p w:rsidR="00583928" w:rsidRPr="00583928" w:rsidRDefault="00583928" w:rsidP="00583928">
            <w:pPr>
              <w:spacing w:after="0" w:line="240" w:lineRule="auto"/>
              <w:textAlignment w:val="baseline"/>
              <w:rPr>
                <w:rFonts w:ascii="inherit" w:eastAsia="Times New Roman" w:hAnsi="inherit" w:cs="Arial"/>
                <w:color w:val="666666"/>
                <w:sz w:val="20"/>
                <w:szCs w:val="20"/>
                <w:lang w:eastAsia="el-GR"/>
              </w:rPr>
            </w:pPr>
            <w:r>
              <w:rPr>
                <w:rFonts w:ascii="inherit" w:eastAsia="Times New Roman" w:hAnsi="inherit" w:cs="Arial"/>
                <w:b/>
                <w:bCs/>
                <w:noProof/>
                <w:color w:val="666666"/>
                <w:sz w:val="20"/>
                <w:szCs w:val="20"/>
                <w:bdr w:val="none" w:sz="0" w:space="0" w:color="auto" w:frame="1"/>
                <w:lang w:eastAsia="el-GR"/>
              </w:rPr>
              <w:drawing>
                <wp:inline distT="0" distB="0" distL="0" distR="0">
                  <wp:extent cx="952500" cy="952500"/>
                  <wp:effectExtent l="19050" t="0" r="0" b="0"/>
                  <wp:docPr id="1" name="Εικόνα 1" descr="http://www.halandri.gr/inst/halandri/gallery/ethnosimo_egxrw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landri.gr/inst/halandri/gallery/ethnosimo_egxrwmo.jpg"/>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583928">
              <w:rPr>
                <w:rFonts w:ascii="inherit" w:eastAsia="Times New Roman" w:hAnsi="inherit" w:cs="Arial"/>
                <w:b/>
                <w:bCs/>
                <w:color w:val="666666"/>
                <w:sz w:val="20"/>
                <w:szCs w:val="20"/>
                <w:bdr w:val="none" w:sz="0" w:space="0" w:color="auto" w:frame="1"/>
                <w:lang w:eastAsia="el-GR"/>
              </w:rPr>
              <w:br/>
            </w:r>
            <w:r w:rsidRPr="00583928">
              <w:rPr>
                <w:rFonts w:ascii="inherit" w:eastAsia="Times New Roman" w:hAnsi="inherit" w:cs="Arial"/>
                <w:b/>
                <w:bCs/>
                <w:color w:val="666666"/>
                <w:sz w:val="20"/>
                <w:lang w:eastAsia="el-GR"/>
              </w:rPr>
              <w:t>ΕΛΛΗΝΙΚΗ ΔΗΜΟΚΡΑΤΙΑ</w:t>
            </w:r>
            <w:r w:rsidRPr="00583928">
              <w:rPr>
                <w:rFonts w:ascii="inherit" w:eastAsia="Times New Roman" w:hAnsi="inherit" w:cs="Arial"/>
                <w:b/>
                <w:bCs/>
                <w:color w:val="666666"/>
                <w:sz w:val="20"/>
                <w:szCs w:val="20"/>
                <w:bdr w:val="none" w:sz="0" w:space="0" w:color="auto" w:frame="1"/>
                <w:lang w:eastAsia="el-GR"/>
              </w:rPr>
              <w:br/>
            </w:r>
            <w:r w:rsidRPr="00583928">
              <w:rPr>
                <w:rFonts w:ascii="inherit" w:eastAsia="Times New Roman" w:hAnsi="inherit" w:cs="Arial"/>
                <w:b/>
                <w:bCs/>
                <w:color w:val="666666"/>
                <w:sz w:val="20"/>
                <w:lang w:eastAsia="el-GR"/>
              </w:rPr>
              <w:t>ΝΟΜΟΣ ΑΤΤΙΚΗΣ                                                                           Χαλάνδρι, 6/11/17</w:t>
            </w:r>
            <w:r w:rsidRPr="00583928">
              <w:rPr>
                <w:rFonts w:ascii="inherit" w:eastAsia="Times New Roman" w:hAnsi="inherit" w:cs="Arial"/>
                <w:b/>
                <w:bCs/>
                <w:color w:val="666666"/>
                <w:sz w:val="20"/>
                <w:szCs w:val="20"/>
                <w:bdr w:val="none" w:sz="0" w:space="0" w:color="auto" w:frame="1"/>
                <w:lang w:eastAsia="el-GR"/>
              </w:rPr>
              <w:br/>
            </w:r>
            <w:r w:rsidRPr="00583928">
              <w:rPr>
                <w:rFonts w:ascii="inherit" w:eastAsia="Times New Roman" w:hAnsi="inherit" w:cs="Arial"/>
                <w:b/>
                <w:bCs/>
                <w:color w:val="666666"/>
                <w:sz w:val="20"/>
                <w:lang w:eastAsia="el-GR"/>
              </w:rPr>
              <w:t xml:space="preserve">ΔΗΜΟΣ ΧΑΛΑΝΔΡΙΟΥ                                                                  </w:t>
            </w:r>
            <w:proofErr w:type="spellStart"/>
            <w:r w:rsidRPr="00583928">
              <w:rPr>
                <w:rFonts w:ascii="inherit" w:eastAsia="Times New Roman" w:hAnsi="inherit" w:cs="Arial"/>
                <w:b/>
                <w:bCs/>
                <w:color w:val="666666"/>
                <w:sz w:val="20"/>
                <w:lang w:eastAsia="el-GR"/>
              </w:rPr>
              <w:t>Αριθμ</w:t>
            </w:r>
            <w:proofErr w:type="spellEnd"/>
            <w:r w:rsidRPr="00583928">
              <w:rPr>
                <w:rFonts w:ascii="inherit" w:eastAsia="Times New Roman" w:hAnsi="inherit" w:cs="Arial"/>
                <w:b/>
                <w:bCs/>
                <w:color w:val="666666"/>
                <w:sz w:val="20"/>
                <w:lang w:eastAsia="el-GR"/>
              </w:rPr>
              <w:t xml:space="preserve">. </w:t>
            </w:r>
            <w:proofErr w:type="spellStart"/>
            <w:r w:rsidRPr="00583928">
              <w:rPr>
                <w:rFonts w:ascii="inherit" w:eastAsia="Times New Roman" w:hAnsi="inherit" w:cs="Arial"/>
                <w:b/>
                <w:bCs/>
                <w:color w:val="666666"/>
                <w:sz w:val="20"/>
                <w:lang w:eastAsia="el-GR"/>
              </w:rPr>
              <w:t>πρωτ</w:t>
            </w:r>
            <w:proofErr w:type="spellEnd"/>
            <w:r w:rsidRPr="00583928">
              <w:rPr>
                <w:rFonts w:ascii="inherit" w:eastAsia="Times New Roman" w:hAnsi="inherit" w:cs="Arial"/>
                <w:b/>
                <w:bCs/>
                <w:color w:val="666666"/>
                <w:sz w:val="20"/>
                <w:lang w:eastAsia="el-GR"/>
              </w:rPr>
              <w:t>.: 41035 </w:t>
            </w:r>
            <w:r w:rsidRPr="00583928">
              <w:rPr>
                <w:rFonts w:ascii="inherit" w:eastAsia="Times New Roman" w:hAnsi="inherit" w:cs="Arial"/>
                <w:b/>
                <w:bCs/>
                <w:color w:val="666666"/>
                <w:sz w:val="20"/>
                <w:szCs w:val="20"/>
                <w:bdr w:val="none" w:sz="0" w:space="0" w:color="auto" w:frame="1"/>
                <w:lang w:eastAsia="el-GR"/>
              </w:rPr>
              <w:br/>
            </w:r>
            <w:r w:rsidRPr="00583928">
              <w:rPr>
                <w:rFonts w:ascii="inherit" w:eastAsia="Times New Roman" w:hAnsi="inherit" w:cs="Arial"/>
                <w:b/>
                <w:bCs/>
                <w:color w:val="666666"/>
                <w:sz w:val="20"/>
                <w:lang w:eastAsia="el-GR"/>
              </w:rPr>
              <w:t>                                                                                                                       </w:t>
            </w:r>
            <w:r w:rsidRPr="00583928">
              <w:rPr>
                <w:rFonts w:ascii="inherit" w:eastAsia="Times New Roman" w:hAnsi="inherit" w:cs="Arial"/>
                <w:b/>
                <w:bCs/>
                <w:color w:val="666666"/>
                <w:sz w:val="20"/>
                <w:szCs w:val="20"/>
                <w:bdr w:val="none" w:sz="0" w:space="0" w:color="auto" w:frame="1"/>
                <w:lang w:eastAsia="el-GR"/>
              </w:rPr>
              <w:br/>
            </w:r>
            <w:r w:rsidRPr="00583928">
              <w:rPr>
                <w:rFonts w:ascii="inherit" w:eastAsia="Times New Roman" w:hAnsi="inherit" w:cs="Arial"/>
                <w:b/>
                <w:bCs/>
                <w:color w:val="666666"/>
                <w:sz w:val="20"/>
                <w:lang w:eastAsia="el-GR"/>
              </w:rPr>
              <w:t>                                                                                                                                                                                             </w:t>
            </w:r>
            <w:r w:rsidRPr="00583928">
              <w:rPr>
                <w:rFonts w:ascii="inherit" w:eastAsia="Times New Roman" w:hAnsi="inherit" w:cs="Arial"/>
                <w:b/>
                <w:bCs/>
                <w:color w:val="666666"/>
                <w:sz w:val="20"/>
                <w:szCs w:val="20"/>
                <w:bdr w:val="none" w:sz="0" w:space="0" w:color="auto" w:frame="1"/>
                <w:lang w:eastAsia="el-GR"/>
              </w:rPr>
              <w:br/>
            </w:r>
            <w:r w:rsidRPr="00583928">
              <w:rPr>
                <w:rFonts w:ascii="inherit" w:eastAsia="Times New Roman" w:hAnsi="inherit" w:cs="Arial"/>
                <w:b/>
                <w:bCs/>
                <w:color w:val="666666"/>
                <w:sz w:val="20"/>
                <w:lang w:eastAsia="el-GR"/>
              </w:rPr>
              <w:t> </w:t>
            </w:r>
          </w:p>
          <w:p w:rsidR="00583928" w:rsidRPr="00583928" w:rsidRDefault="00583928" w:rsidP="00583928">
            <w:pPr>
              <w:spacing w:after="0" w:line="240" w:lineRule="auto"/>
              <w:jc w:val="center"/>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 xml:space="preserve">ΑΝΑΚΟΙΝΩΣΗ υπ' </w:t>
            </w:r>
            <w:proofErr w:type="spellStart"/>
            <w:r w:rsidRPr="00583928">
              <w:rPr>
                <w:rFonts w:ascii="inherit" w:eastAsia="Times New Roman" w:hAnsi="inherit" w:cs="Arial"/>
                <w:b/>
                <w:bCs/>
                <w:color w:val="5F5E5C"/>
                <w:sz w:val="20"/>
                <w:lang w:eastAsia="el-GR"/>
              </w:rPr>
              <w:t>αριθμ</w:t>
            </w:r>
            <w:proofErr w:type="spellEnd"/>
            <w:r w:rsidRPr="00583928">
              <w:rPr>
                <w:rFonts w:ascii="inherit" w:eastAsia="Times New Roman" w:hAnsi="inherit" w:cs="Arial"/>
                <w:b/>
                <w:bCs/>
                <w:color w:val="5F5E5C"/>
                <w:sz w:val="20"/>
                <w:lang w:eastAsia="el-GR"/>
              </w:rPr>
              <w:t>. ΣΟΧ  5/2017</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για τη σύναψη ΣΥΜΒΑΣΗΣ ΕΡΓΑΣΙΑΣ ΟΡΙΣΜΕΝΟΥ ΧΡΟΝΟΥ</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Ο ΔΗΜΟΣ ΧΑΛΑΝΔΡΙΟΥ</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Έχοντας υπόψη:</w:t>
            </w:r>
          </w:p>
          <w:p w:rsidR="00583928" w:rsidRPr="00583928" w:rsidRDefault="00583928" w:rsidP="00583928">
            <w:pPr>
              <w:numPr>
                <w:ilvl w:val="0"/>
                <w:numId w:val="1"/>
              </w:numPr>
              <w:spacing w:after="0" w:line="240" w:lineRule="auto"/>
              <w:ind w:left="0"/>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Τις διατάξεις του άρθρου 21 του Ν. 2190/1994 «Σύσταση ανεξάρτητης αρχής για την επιλογή προσωπικού και ρύθμιση θεμάτων διοίκησης» (ΦΕΚ 28 Α), όπως έχουν τροποποιηθεί και ισχύουν, σε συνδυασμό με τις διατάξεις της παρ. 9 του άρθρου 25 του Ν. 4440/2016 (ΦΕΚ 224 Α).</w:t>
            </w:r>
          </w:p>
          <w:p w:rsidR="00583928" w:rsidRPr="00583928" w:rsidRDefault="00583928" w:rsidP="00583928">
            <w:pPr>
              <w:numPr>
                <w:ilvl w:val="0"/>
                <w:numId w:val="1"/>
              </w:numPr>
              <w:spacing w:after="0" w:line="240" w:lineRule="auto"/>
              <w:ind w:left="0"/>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Τις διατάξεις του Ν. 3852/2010 «Νέα Αρχιτεκτονική της Αυτοδιοίκησης και της Αποκεντρωμένης Διοίκησης- Πρόγραμμα Καλλικράτης» (ΦΕΚ 87 Α), όπως έχουν τροποποιηθεί και ισχύουν.</w:t>
            </w:r>
          </w:p>
          <w:p w:rsidR="00583928" w:rsidRPr="00583928" w:rsidRDefault="00583928" w:rsidP="00583928">
            <w:pPr>
              <w:numPr>
                <w:ilvl w:val="0"/>
                <w:numId w:val="1"/>
              </w:numPr>
              <w:spacing w:after="0" w:line="240" w:lineRule="auto"/>
              <w:ind w:left="0"/>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 Α).</w:t>
            </w:r>
          </w:p>
          <w:p w:rsidR="00583928" w:rsidRPr="00583928" w:rsidRDefault="00583928" w:rsidP="00583928">
            <w:pPr>
              <w:numPr>
                <w:ilvl w:val="0"/>
                <w:numId w:val="1"/>
              </w:numPr>
              <w:spacing w:after="0" w:line="240" w:lineRule="auto"/>
              <w:ind w:left="0"/>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Τις διατάξεις του άρθρου 48 του Ν.4325/2015 (ΦΕΚ 47/Α΄/11.5.2015) «Εκδημοκρατισμός της Διοίκησης – Καταπολέμηση Γραφειοκρατίας και Ηλεκτρονική Διακυβέρνηση. Αποκατάσταση αδικιών και άλλες διατάξεις».</w:t>
            </w:r>
          </w:p>
          <w:p w:rsidR="00583928" w:rsidRPr="00583928" w:rsidRDefault="00583928" w:rsidP="00583928">
            <w:pPr>
              <w:numPr>
                <w:ilvl w:val="0"/>
                <w:numId w:val="1"/>
              </w:numPr>
              <w:spacing w:after="0" w:line="240" w:lineRule="auto"/>
              <w:ind w:left="0"/>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 xml:space="preserve">Την υπ’ </w:t>
            </w:r>
            <w:proofErr w:type="spellStart"/>
            <w:r w:rsidRPr="00583928">
              <w:rPr>
                <w:rFonts w:ascii="inherit" w:eastAsia="Times New Roman" w:hAnsi="inherit" w:cs="Arial"/>
                <w:b/>
                <w:bCs/>
                <w:color w:val="5F5E5C"/>
                <w:sz w:val="20"/>
                <w:lang w:eastAsia="el-GR"/>
              </w:rPr>
              <w:t>αριθμ</w:t>
            </w:r>
            <w:proofErr w:type="spellEnd"/>
            <w:r w:rsidRPr="00583928">
              <w:rPr>
                <w:rFonts w:ascii="inherit" w:eastAsia="Times New Roman" w:hAnsi="inherit" w:cs="Arial"/>
                <w:b/>
                <w:bCs/>
                <w:color w:val="5F5E5C"/>
                <w:sz w:val="20"/>
                <w:lang w:eastAsia="el-GR"/>
              </w:rPr>
              <w:t>. 311/31.8.2016 απόφαση του Δημοτικού Συμβουλίου του Δήμου Χαλανδρίου, με θέμα 12</w:t>
            </w:r>
            <w:r w:rsidRPr="00583928">
              <w:rPr>
                <w:rFonts w:ascii="inherit" w:eastAsia="Times New Roman" w:hAnsi="inherit" w:cs="Arial"/>
                <w:b/>
                <w:bCs/>
                <w:color w:val="5F5E5C"/>
                <w:sz w:val="20"/>
                <w:vertAlign w:val="superscript"/>
                <w:lang w:eastAsia="el-GR"/>
              </w:rPr>
              <w:t>ο</w:t>
            </w:r>
            <w:r w:rsidRPr="00583928">
              <w:rPr>
                <w:rFonts w:ascii="inherit" w:eastAsia="Times New Roman" w:hAnsi="inherit" w:cs="Arial"/>
                <w:b/>
                <w:bCs/>
                <w:color w:val="5F5E5C"/>
                <w:sz w:val="20"/>
                <w:lang w:eastAsia="el-GR"/>
              </w:rPr>
              <w:t>: «Πρόσληψη έκτακτου προσωπικού ανταποδοτικού χαρακτήρα».</w:t>
            </w:r>
          </w:p>
          <w:p w:rsidR="00583928" w:rsidRPr="00583928" w:rsidRDefault="00583928" w:rsidP="00583928">
            <w:pPr>
              <w:numPr>
                <w:ilvl w:val="0"/>
                <w:numId w:val="1"/>
              </w:numPr>
              <w:spacing w:after="0" w:line="240" w:lineRule="auto"/>
              <w:ind w:left="0"/>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 xml:space="preserve">Την υπ’ </w:t>
            </w:r>
            <w:proofErr w:type="spellStart"/>
            <w:r w:rsidRPr="00583928">
              <w:rPr>
                <w:rFonts w:ascii="inherit" w:eastAsia="Times New Roman" w:hAnsi="inherit" w:cs="Arial"/>
                <w:b/>
                <w:bCs/>
                <w:color w:val="5F5E5C"/>
                <w:sz w:val="20"/>
                <w:lang w:eastAsia="el-GR"/>
              </w:rPr>
              <w:t>αριθμ</w:t>
            </w:r>
            <w:proofErr w:type="spellEnd"/>
            <w:r w:rsidRPr="00583928">
              <w:rPr>
                <w:rFonts w:ascii="inherit" w:eastAsia="Times New Roman" w:hAnsi="inherit" w:cs="Arial"/>
                <w:b/>
                <w:bCs/>
                <w:color w:val="5F5E5C"/>
                <w:sz w:val="20"/>
                <w:lang w:eastAsia="el-GR"/>
              </w:rPr>
              <w:t>. οικ. 84274/31517/19.10.2016 εισήγηση της Αποκεντρωμένης Διοίκησης  Αττικής για πρόσληψη προσωπικού  ιδιωτικού δικαίου ορισμένου χρόνου στο Δήμο Αίγινας, ανταποδοτικού χαρακτήρα, προς το Υπουργείο Εσωτερικών.</w:t>
            </w:r>
          </w:p>
          <w:p w:rsidR="00583928" w:rsidRPr="00583928" w:rsidRDefault="00583928" w:rsidP="00583928">
            <w:pPr>
              <w:numPr>
                <w:ilvl w:val="0"/>
                <w:numId w:val="1"/>
              </w:numPr>
              <w:spacing w:after="0" w:line="240" w:lineRule="auto"/>
              <w:ind w:left="0"/>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 xml:space="preserve">Την υπ' </w:t>
            </w:r>
            <w:proofErr w:type="spellStart"/>
            <w:r w:rsidRPr="00583928">
              <w:rPr>
                <w:rFonts w:ascii="inherit" w:eastAsia="Times New Roman" w:hAnsi="inherit" w:cs="Arial"/>
                <w:b/>
                <w:bCs/>
                <w:color w:val="5F5E5C"/>
                <w:sz w:val="20"/>
                <w:lang w:eastAsia="el-GR"/>
              </w:rPr>
              <w:t>αριθμ</w:t>
            </w:r>
            <w:proofErr w:type="spellEnd"/>
            <w:r w:rsidRPr="00583928">
              <w:rPr>
                <w:rFonts w:ascii="inherit" w:eastAsia="Times New Roman" w:hAnsi="inherit" w:cs="Arial"/>
                <w:b/>
                <w:bCs/>
                <w:color w:val="5F5E5C"/>
                <w:sz w:val="20"/>
                <w:lang w:eastAsia="el-GR"/>
              </w:rPr>
              <w:t>. οικ.37905/23.11.2016 Απόφαση του Υπουργού  Εσωτερικών περί έγκρισης σύναψης δώδεκα (12) συμβάσεων με σχέση εργασίας ιδιωτικού δικαίου ορισμένου χρόνου σε υπηρεσίες ανταποδοτικού χαρακτήρα στο Δήμο Χαλανδρίου.</w:t>
            </w:r>
          </w:p>
          <w:p w:rsidR="00583928" w:rsidRPr="00583928" w:rsidRDefault="00583928" w:rsidP="00583928">
            <w:pPr>
              <w:numPr>
                <w:ilvl w:val="0"/>
                <w:numId w:val="1"/>
              </w:numPr>
              <w:spacing w:after="0" w:line="240" w:lineRule="auto"/>
              <w:ind w:left="0"/>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 xml:space="preserve">Το υπ’ </w:t>
            </w:r>
            <w:proofErr w:type="spellStart"/>
            <w:r w:rsidRPr="00583928">
              <w:rPr>
                <w:rFonts w:ascii="inherit" w:eastAsia="Times New Roman" w:hAnsi="inherit" w:cs="Arial"/>
                <w:b/>
                <w:bCs/>
                <w:color w:val="5F5E5C"/>
                <w:sz w:val="20"/>
                <w:lang w:eastAsia="el-GR"/>
              </w:rPr>
              <w:t>αριθμ</w:t>
            </w:r>
            <w:proofErr w:type="spellEnd"/>
            <w:r w:rsidRPr="00583928">
              <w:rPr>
                <w:rFonts w:ascii="inherit" w:eastAsia="Times New Roman" w:hAnsi="inherit" w:cs="Arial"/>
                <w:b/>
                <w:bCs/>
                <w:color w:val="5F5E5C"/>
                <w:sz w:val="20"/>
                <w:lang w:eastAsia="el-GR"/>
              </w:rPr>
              <w:t>. 32454/5.12.2017 έγγραφο του Υπουργείου Εσωτερικών προς το Δήμο Χαλανδρίου με θέμα την έγκριση πρόσληψης προσωπικού με σχέση εργασίας ιδιωτικού δικαίου ορισμένου χρόνου ανταποδοτικού χαρακτήρα.</w:t>
            </w:r>
          </w:p>
          <w:p w:rsidR="00583928" w:rsidRPr="00583928" w:rsidRDefault="00583928" w:rsidP="00583928">
            <w:pPr>
              <w:numPr>
                <w:ilvl w:val="0"/>
                <w:numId w:val="1"/>
              </w:numPr>
              <w:spacing w:after="0" w:line="240" w:lineRule="auto"/>
              <w:ind w:left="0"/>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 xml:space="preserve">Τον Οργανισμό Εσωτερικής Υπηρεσίας του Δήμου Χαλανδρίου, ως τροποποιηθείς με το ΦΕΚ 1036/Β΄/3.6.2015 ισχύει και την υπ’ </w:t>
            </w:r>
            <w:proofErr w:type="spellStart"/>
            <w:r w:rsidRPr="00583928">
              <w:rPr>
                <w:rFonts w:ascii="inherit" w:eastAsia="Times New Roman" w:hAnsi="inherit" w:cs="Arial"/>
                <w:b/>
                <w:bCs/>
                <w:color w:val="5F5E5C"/>
                <w:sz w:val="20"/>
                <w:lang w:eastAsia="el-GR"/>
              </w:rPr>
              <w:t>αριθμ</w:t>
            </w:r>
            <w:proofErr w:type="spellEnd"/>
            <w:r w:rsidRPr="00583928">
              <w:rPr>
                <w:rFonts w:ascii="inherit" w:eastAsia="Times New Roman" w:hAnsi="inherit" w:cs="Arial"/>
                <w:b/>
                <w:bCs/>
                <w:color w:val="5F5E5C"/>
                <w:sz w:val="20"/>
                <w:lang w:eastAsia="el-GR"/>
              </w:rPr>
              <w:t>. 36696/10.10.2017 βεβαίωση του εν λόγω δήμου περί κενών θέσεων.</w:t>
            </w:r>
          </w:p>
          <w:p w:rsidR="00583928" w:rsidRPr="00583928" w:rsidRDefault="00583928" w:rsidP="00583928">
            <w:pPr>
              <w:numPr>
                <w:ilvl w:val="0"/>
                <w:numId w:val="1"/>
              </w:numPr>
              <w:spacing w:after="0" w:line="240" w:lineRule="auto"/>
              <w:ind w:left="0"/>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 xml:space="preserve">Την υπ’ </w:t>
            </w:r>
            <w:proofErr w:type="spellStart"/>
            <w:r w:rsidRPr="00583928">
              <w:rPr>
                <w:rFonts w:ascii="inherit" w:eastAsia="Times New Roman" w:hAnsi="inherit" w:cs="Arial"/>
                <w:b/>
                <w:bCs/>
                <w:color w:val="5F5E5C"/>
                <w:sz w:val="20"/>
                <w:lang w:eastAsia="el-GR"/>
              </w:rPr>
              <w:t>αριθμ</w:t>
            </w:r>
            <w:proofErr w:type="spellEnd"/>
            <w:r w:rsidRPr="00583928">
              <w:rPr>
                <w:rFonts w:ascii="inherit" w:eastAsia="Times New Roman" w:hAnsi="inherit" w:cs="Arial"/>
                <w:b/>
                <w:bCs/>
                <w:color w:val="5F5E5C"/>
                <w:sz w:val="20"/>
                <w:lang w:eastAsia="el-GR"/>
              </w:rPr>
              <w:t>. 36695/26.10.2017 βεβαίωση(σε ορθή επανάληψη) της Προϊσταμένης της Διεύθυνσης Οικονομικής Διαχείρισης του Δήμου Χαλανδρίου περί ύπαρξης πιστώσεων για την κάλυψη της δαπάνης μισθοδοσίας του υπό πρόσληψη προσωπικού της παρούσας ανακοίνωσης.</w:t>
            </w:r>
          </w:p>
          <w:p w:rsidR="00583928" w:rsidRPr="00583928" w:rsidRDefault="00583928" w:rsidP="00583928">
            <w:pPr>
              <w:spacing w:after="0" w:line="240" w:lineRule="auto"/>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Ανακοινώνει</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xml:space="preserve">Την πρόσληψη, με σύμβαση εργασίας ιδιωτικού δικαίου ορισμένου χρόνου, ενός (1) ατόμου για την κάλυψη εποχικών ή παροδικών αναγκών ανταποδοτικού χαρακτήρα του Δήμου Χαλανδρίου, που εδρεύει στο Χαλάνδρι Ν. Αττικής, και συγκεκριμένα του εξής, ανά υπηρεσία, έδρα, ειδικότητα και διάρκεια σύμβασης, αριθμού ατόμων (βλ. ΠΙΝΑΚΑ Α), με τα αντίστοιχα </w:t>
            </w:r>
            <w:r w:rsidRPr="00583928">
              <w:rPr>
                <w:rFonts w:ascii="inherit" w:eastAsia="Times New Roman" w:hAnsi="inherit" w:cs="Arial"/>
                <w:b/>
                <w:bCs/>
                <w:color w:val="5F5E5C"/>
                <w:sz w:val="20"/>
                <w:lang w:eastAsia="el-GR"/>
              </w:rPr>
              <w:lastRenderedPageBreak/>
              <w:t>απαιτούμενα (τυπικά και τυχόν πρόσθετα) προσόντα (βλ. ΠΙΝΑΚΑ Β):</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3"/>
              <w:gridCol w:w="2156"/>
              <w:gridCol w:w="1536"/>
              <w:gridCol w:w="1709"/>
              <w:gridCol w:w="1081"/>
              <w:gridCol w:w="885"/>
            </w:tblGrid>
            <w:tr w:rsidR="00583928" w:rsidRPr="00583928">
              <w:trPr>
                <w:trHeight w:val="285"/>
                <w:tblHeader/>
                <w:tblCellSpacing w:w="0" w:type="dxa"/>
              </w:trPr>
              <w:tc>
                <w:tcPr>
                  <w:tcW w:w="10500" w:type="dxa"/>
                  <w:gridSpan w:val="6"/>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center"/>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ΠΙΝΑΚΑΣ Α: ΘΕΣΕΙΣ ΕΠΟΧΙΚΟΥ ΠΡΟΣΩΠΙΚΟΥ (ανά κωδικό θέσης)</w:t>
                  </w:r>
                </w:p>
              </w:tc>
            </w:tr>
            <w:tr w:rsidR="00583928" w:rsidRPr="00583928">
              <w:trPr>
                <w:trHeight w:val="660"/>
                <w:tblHeader/>
                <w:tblCellSpacing w:w="0"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center"/>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Κωδικός</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θέσης</w:t>
                  </w:r>
                </w:p>
              </w:tc>
              <w:tc>
                <w:tcPr>
                  <w:tcW w:w="2910"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center"/>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Υπηρεσία</w:t>
                  </w:r>
                </w:p>
              </w:tc>
              <w:tc>
                <w:tcPr>
                  <w:tcW w:w="1980"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center"/>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Έδρα υπηρεσίας</w:t>
                  </w:r>
                </w:p>
              </w:tc>
              <w:tc>
                <w:tcPr>
                  <w:tcW w:w="2265"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center"/>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Ειδικότητα</w:t>
                  </w:r>
                </w:p>
              </w:tc>
              <w:tc>
                <w:tcPr>
                  <w:tcW w:w="1275"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center"/>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Διάρκεια σύμβασης</w:t>
                  </w:r>
                </w:p>
              </w:tc>
              <w:tc>
                <w:tcPr>
                  <w:tcW w:w="1005"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center"/>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Αριθμός</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ατόμων</w:t>
                  </w:r>
                </w:p>
              </w:tc>
            </w:tr>
            <w:tr w:rsidR="00583928" w:rsidRPr="00583928">
              <w:trPr>
                <w:trHeight w:val="555"/>
                <w:tblCellSpacing w:w="0"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center"/>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103</w:t>
                  </w:r>
                </w:p>
              </w:tc>
              <w:tc>
                <w:tcPr>
                  <w:tcW w:w="2910"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center"/>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ΔΗΜΟΣ ΧΑΛΑΝΔΡΙΟΥ</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(Διεύθυνση Διαχείρισης Απορριμμάτων και Ανακύκλωσης)</w:t>
                  </w:r>
                </w:p>
              </w:tc>
              <w:tc>
                <w:tcPr>
                  <w:tcW w:w="1980"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center"/>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ΧΑΛΑΝΔΡΙ</w:t>
                  </w:r>
                </w:p>
              </w:tc>
              <w:tc>
                <w:tcPr>
                  <w:tcW w:w="2265"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center"/>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ΔΕ Χειριστών Πλυντηρίου κάδων</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[Γ΄ (C)  Κατηγορίας – χωρίς κάρτα ψηφιακού ταχογράφου]</w:t>
                  </w:r>
                </w:p>
              </w:tc>
              <w:tc>
                <w:tcPr>
                  <w:tcW w:w="1275"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center"/>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8 μήνες</w:t>
                  </w:r>
                </w:p>
              </w:tc>
              <w:tc>
                <w:tcPr>
                  <w:tcW w:w="1005"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center"/>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w:t>
                  </w:r>
                </w:p>
              </w:tc>
            </w:tr>
          </w:tbl>
          <w:p w:rsidR="00583928" w:rsidRPr="00583928" w:rsidRDefault="00583928" w:rsidP="00583928">
            <w:pPr>
              <w:spacing w:after="0" w:line="240" w:lineRule="auto"/>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8"/>
              <w:gridCol w:w="6562"/>
            </w:tblGrid>
            <w:tr w:rsidR="00583928" w:rsidRPr="00583928">
              <w:trPr>
                <w:trHeight w:val="285"/>
                <w:tblHeader/>
                <w:tblCellSpacing w:w="0" w:type="dxa"/>
                <w:jc w:val="center"/>
              </w:trPr>
              <w:tc>
                <w:tcPr>
                  <w:tcW w:w="10875" w:type="dxa"/>
                  <w:gridSpan w:val="2"/>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both"/>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ΠΙΝΑΚΑΣ Β: ΑΠΑΙΤΟΥΜΕΝΑ ΠΡΟΣΟΝΤΑ (ανά κωδικό θέσης)</w:t>
                  </w:r>
                </w:p>
              </w:tc>
            </w:tr>
            <w:tr w:rsidR="00583928" w:rsidRPr="00583928">
              <w:trPr>
                <w:trHeight w:val="555"/>
                <w:tblHeade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both"/>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Κωδικός θέσης</w:t>
                  </w:r>
                </w:p>
              </w:tc>
              <w:tc>
                <w:tcPr>
                  <w:tcW w:w="8610"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both"/>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Τίτλος σπουδών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και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λοιπά απαιτούμενα (τυπικά &amp; τυχόν πρόσθετα) προσόντα</w:t>
                  </w:r>
                </w:p>
              </w:tc>
            </w:tr>
            <w:tr w:rsidR="00583928" w:rsidRPr="00583928">
              <w:trPr>
                <w:trHeight w:val="330"/>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103</w:t>
                  </w:r>
                </w:p>
              </w:tc>
              <w:tc>
                <w:tcPr>
                  <w:tcW w:w="8610"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u w:val="single"/>
                      <w:lang w:eastAsia="el-GR"/>
                    </w:rPr>
                    <w:t>ΚΥΡΙΑ ΠΡΟΣΟΝΤΑ:</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xml:space="preserve">α) Άδεια οδήγησης αυτοκινήτου Γ' ή C κατηγορίας (Π.Δ. 51/2012 όπως ισχύει), β)Δίπλωμα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ή 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 1346/1983 ειδικότητας Μηχανοτεχνίτη Αυτοκινήτου  ή συναφούς ειδικότητας,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w:t>
                  </w:r>
                  <w:proofErr w:type="spellStart"/>
                  <w:r w:rsidRPr="00583928">
                    <w:rPr>
                      <w:rFonts w:ascii="inherit" w:eastAsia="Times New Roman" w:hAnsi="inherit" w:cs="Times New Roman"/>
                      <w:b/>
                      <w:bCs/>
                      <w:sz w:val="20"/>
                      <w:lang w:eastAsia="el-GR"/>
                    </w:rPr>
                    <w:t>Μηχανοτρονικής</w:t>
                  </w:r>
                  <w:proofErr w:type="spellEnd"/>
                  <w:r w:rsidRPr="00583928">
                    <w:rPr>
                      <w:rFonts w:ascii="inherit" w:eastAsia="Times New Roman" w:hAnsi="inherit" w:cs="Times New Roman"/>
                      <w:b/>
                      <w:bCs/>
                      <w:sz w:val="20"/>
                      <w:lang w:eastAsia="el-GR"/>
                    </w:rPr>
                    <w:t xml:space="preserve"> ή αντίστοιχο πτυχίο ή δίπλωμα ή απολυτήριος τίτλος ΙΕΚ ή Επαγγελματικού Λυκείου ή Τεχνικού Επαγγελματικού Εκπαιδευτηρίου </w:t>
                  </w:r>
                  <w:proofErr w:type="spellStart"/>
                  <w:r w:rsidRPr="00583928">
                    <w:rPr>
                      <w:rFonts w:ascii="inherit" w:eastAsia="Times New Roman" w:hAnsi="inherit" w:cs="Times New Roman"/>
                      <w:b/>
                      <w:bCs/>
                      <w:sz w:val="20"/>
                      <w:lang w:eastAsia="el-GR"/>
                    </w:rPr>
                    <w:t>Α΄ή</w:t>
                  </w:r>
                  <w:proofErr w:type="spellEnd"/>
                  <w:r w:rsidRPr="00583928">
                    <w:rPr>
                      <w:rFonts w:ascii="inherit" w:eastAsia="Times New Roman" w:hAnsi="inherit" w:cs="Times New Roman"/>
                      <w:b/>
                      <w:bCs/>
                      <w:sz w:val="20"/>
                      <w:lang w:eastAsia="el-GR"/>
                    </w:rPr>
                    <w:t xml:space="preserve"> </w:t>
                  </w:r>
                  <w:proofErr w:type="spellStart"/>
                  <w:r w:rsidRPr="00583928">
                    <w:rPr>
                      <w:rFonts w:ascii="inherit" w:eastAsia="Times New Roman" w:hAnsi="inherit" w:cs="Times New Roman"/>
                      <w:b/>
                      <w:bCs/>
                      <w:sz w:val="20"/>
                      <w:lang w:eastAsia="el-GR"/>
                    </w:rPr>
                    <w:t>Β΄κύκλου</w:t>
                  </w:r>
                  <w:proofErr w:type="spellEnd"/>
                  <w:r w:rsidRPr="00583928">
                    <w:rPr>
                      <w:rFonts w:ascii="inherit" w:eastAsia="Times New Roman" w:hAnsi="inherit" w:cs="Times New Roman"/>
                      <w:b/>
                      <w:bCs/>
                      <w:sz w:val="20"/>
                      <w:lang w:eastAsia="el-GR"/>
                    </w:rPr>
                    <w:t xml:space="preserve">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γ) Πιστοποιητικό Επαγγελματικής Ικανότητας (ΠΕΙ).</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u w:val="single"/>
                      <w:lang w:eastAsia="el-GR"/>
                    </w:rPr>
                    <w:t>ΠΡΟΣΟΝΤΑ Α΄ ΕΠΙΚΟΥΡΙΑΣ:</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(Εφόσον η θέση δεν καλυφθεί από υποψήφιο με τα ανωτέρω προσόντα)</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α) Άδεια οδήγησης αυτοκινήτου Γ' ή C κατηγορίας (Π.Δ.51/2012 όπως ισχύει), β)Οποιοσδήποτε απολυτήριος τίτλος σχολικής μονάδας Δευτεροβάθμιας Εκπαίδευσης της ημεδαπής ή ισότιμος τίτλος σχολών της αλλοδαπής,</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γ) Πιστοποιητικό Επαγγελματικής Ικανότητας (ΠΕΙ).</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u w:val="single"/>
                      <w:lang w:eastAsia="el-GR"/>
                    </w:rPr>
                    <w:lastRenderedPageBreak/>
                    <w:t>ΠΡΟΣΟΝΤΑ Β΄ ΕΠΙΚΟΥΡΙΑΣ:</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(Εφόσον η θέση δεν καλυφθεί από υποψήφιο με τα ανωτέρω προσόντα)</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α) Άδεια οδήγησης αυτοκινήτου Γ' ή C κατηγορίας (Π.Δ. 51/2012 όπως ισχύει), β)Απολυτήριος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οδήγησης αυτοκινήτου,</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γ) Πιστοποιητικό Επαγγελματικής Ικανότητας (ΠΕΙ).</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u w:val="single"/>
                      <w:lang w:eastAsia="el-GR"/>
                    </w:rPr>
                    <w:t>ΠΡΟΣΟΝΤΑ Γ΄ ΕΠΙΚΟΥΡΙΑΣ:</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(Εφόσον η θέση δεν καλυφθεί από υποψήφιο με τα ανωτέρω προσόντα)</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α) Άδεια οδήγησης αυτοκινήτου Γ' ή C κατηγορίας (Π.Δ. 51/2012 όπως ισχύει), β)Απολυτήριος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παραπάνω  άδειας οδήγησης αυτοκινήτου,</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γ) Πιστοποιητικό Επαγγελματικής Ικανότητας (ΠΕΙ).</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u w:val="single"/>
                      <w:lang w:eastAsia="el-GR"/>
                    </w:rPr>
                    <w:t>ΠΡΟΣΟΧΗ:</w:t>
                  </w:r>
                  <w:r w:rsidRPr="00583928">
                    <w:rPr>
                      <w:rFonts w:ascii="inherit" w:eastAsia="Times New Roman" w:hAnsi="inherit" w:cs="Times New Roman"/>
                      <w:b/>
                      <w:bCs/>
                      <w:sz w:val="20"/>
                      <w:lang w:eastAsia="el-GR"/>
                    </w:rPr>
                    <w:t> Για την άδεια οδήγησης αυτοκινήτου Γ’ (C) κατηγορίας απαιτείται υποχρεωτικά η προσκόμιση του Πιστοποιητικού Επαγγελματικής Ικανότητας (ΠΕΙ).</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u w:val="single"/>
                      <w:lang w:eastAsia="el-GR"/>
                    </w:rPr>
                    <w:t>ΣΥΜΠΛΗΡΩΜΑΤΙΚΕΣ ΔΙΕΥΚΡΙΝΙΣΕΙΣ (σύμφωνα με την απαιτούμενη κατά τα ανωτέρω άδεια οδήγησης αυτοκινήτου)</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Προκειμένου για την απόδειξη κατοχής του Πιστοποιητικού Επαγγελματικής Ικανότητας (ΠΕΙ) απαιτείται:</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είτε η κατοχή Δελτίου Επιμόρφωσης Οδηγού,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είτε η καταχώρηση επί του εντύπου της άδειας οδήγησης του κοινοτικού αριθμού «95» δίπλα σε μία ή περισσότερες εκ των κατηγοριών ή υποκατηγοριών που κατέχει ο υποψήφιος και απαιτούνται από την ανακοίνωση.</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u w:val="single"/>
                      <w:lang w:eastAsia="el-GR"/>
                    </w:rPr>
                    <w:t>ΠΡΟΣΟΧΗ:</w:t>
                  </w:r>
                  <w:r w:rsidRPr="00583928">
                    <w:rPr>
                      <w:rFonts w:ascii="inherit" w:eastAsia="Times New Roman" w:hAnsi="inherit" w:cs="Times New Roman"/>
                      <w:b/>
                      <w:bCs/>
                      <w:sz w:val="20"/>
                      <w:lang w:eastAsia="el-GR"/>
                    </w:rPr>
                    <w:t>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ΒΕΒΑΙΩΣΗ της αρμόδιας υπηρεσίας της Διεύθυνσης Μεταφορών και Επικοινωνιών στην οποία να αναφέρονται:</w:t>
                  </w:r>
                </w:p>
                <w:p w:rsidR="00583928" w:rsidRPr="00583928" w:rsidRDefault="00583928" w:rsidP="00583928">
                  <w:pPr>
                    <w:numPr>
                      <w:ilvl w:val="0"/>
                      <w:numId w:val="2"/>
                    </w:numPr>
                    <w:spacing w:after="0" w:line="240" w:lineRule="auto"/>
                    <w:ind w:left="0"/>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Το ονοματεπώνυμο και το όνομα πατρός του αιτούντος τη βεβαίωση</w:t>
                  </w:r>
                </w:p>
                <w:p w:rsidR="00583928" w:rsidRPr="00583928" w:rsidRDefault="00583928" w:rsidP="00583928">
                  <w:pPr>
                    <w:numPr>
                      <w:ilvl w:val="0"/>
                      <w:numId w:val="2"/>
                    </w:numPr>
                    <w:spacing w:after="0" w:line="240" w:lineRule="auto"/>
                    <w:ind w:left="0"/>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Ο αριθμός της άδειας οδήγησης την οποία κατέχει καθώς και η νέα ισχύς της (έναρξη, λήξη)</w:t>
                  </w:r>
                </w:p>
                <w:p w:rsidR="00583928" w:rsidRPr="00583928" w:rsidRDefault="00583928" w:rsidP="00583928">
                  <w:pPr>
                    <w:numPr>
                      <w:ilvl w:val="0"/>
                      <w:numId w:val="2"/>
                    </w:numPr>
                    <w:spacing w:after="0" w:line="240" w:lineRule="auto"/>
                    <w:ind w:left="0"/>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rsidR="00583928" w:rsidRPr="00583928" w:rsidRDefault="00583928" w:rsidP="00583928">
                  <w:pPr>
                    <w:spacing w:after="0" w:line="240" w:lineRule="auto"/>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Αυτονόητο είναι ότι οι υποψήφιοι πρέπει να προσκομίσουν οπωσδήποτε την απαιτούμενη από την ανακοίνωση άδεια οδήγησης.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u w:val="single"/>
                      <w:lang w:eastAsia="el-GR"/>
                    </w:rPr>
                    <w:lastRenderedPageBreak/>
                    <w:t>ΕΠΙΣΗΜΑΝΣΗ:</w:t>
                  </w:r>
                  <w:r w:rsidRPr="00583928">
                    <w:rPr>
                      <w:rFonts w:ascii="inherit" w:eastAsia="Times New Roman" w:hAnsi="inherit" w:cs="Times New Roman"/>
                      <w:b/>
                      <w:bCs/>
                      <w:sz w:val="20"/>
                      <w:lang w:eastAsia="el-GR"/>
                    </w:rPr>
                    <w:t> Σε περίπτωση που η υπηρεσία Μεταφορών και Επικοινωνιών της οικείας Περιφερειακής Ενότητας δεν έχει προχωρήσει στη συγκρότηση επιτροπής για τις εξετάσεις του ανωτέρω πιστοποιητικού (ΠΕΙ), ο υποψήφιος προκειμένου να γίνει δεκτός για τη θέση του ΟΔΗΓΟΥ της συγκεκριμένης ανακοίνωσης, πρέπει να προσκομίσει απαραιτήτως σχετικό έγγραφο της υπηρεσίας αυτής, στο οποίο να αναφέρεται η αδυναμία έκδοσης του ανωτέρω πιστοποιητικού εξ’ αφορμής της μη συγκρότησης της εν λόγω επιτροπής.</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Για τις άδειες οδήγησης αυτοκινήτων, 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Σε περίπτωση αδυναμίας της αρμόδιας υπηρεσίας να χορηγήσει τη βεβαίωση αυτή, λόγω καταστροφής ή φθοράς των αρχείων της, αρκεί :</w:t>
                  </w:r>
                </w:p>
                <w:p w:rsidR="00583928" w:rsidRPr="00583928" w:rsidRDefault="00583928" w:rsidP="00583928">
                  <w:pPr>
                    <w:numPr>
                      <w:ilvl w:val="0"/>
                      <w:numId w:val="3"/>
                    </w:numPr>
                    <w:spacing w:after="0" w:line="240" w:lineRule="auto"/>
                    <w:ind w:left="0"/>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η προσκόμιση της βεβαίωσης της υπηρεσίας αυτής στην οποία να αναφέρεται ο λόγος αδυναμίας καθώς και</w:t>
                  </w:r>
                </w:p>
                <w:p w:rsidR="00583928" w:rsidRPr="00583928" w:rsidRDefault="00583928" w:rsidP="00583928">
                  <w:pPr>
                    <w:numPr>
                      <w:ilvl w:val="0"/>
                      <w:numId w:val="3"/>
                    </w:numPr>
                    <w:spacing w:after="0" w:line="240" w:lineRule="auto"/>
                    <w:ind w:left="0"/>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rsidR="00583928" w:rsidRPr="00583928" w:rsidRDefault="00583928" w:rsidP="00583928">
                  <w:pPr>
                    <w:spacing w:after="0" w:line="240" w:lineRule="auto"/>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Στην περίπτωση που οι υποψήφιοι είναι κάτοχοι επαγγελματικής άδειας οδήγησης αλλοδαπής, για να γίνουν δεκτοί πρέπει να προσκομίσουν βεβαίωση της αρμόδιας υπηρεσίας «περί ισοδυναμίας και αντιστοιχίας της άδειας οδήγησης αλλοδαπής με τις επαγγελματικές άδειες οδήγησης ημεδαπής».</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p>
              </w:tc>
            </w:tr>
          </w:tbl>
          <w:p w:rsidR="00583928" w:rsidRPr="00583928" w:rsidRDefault="00583928" w:rsidP="00583928">
            <w:pPr>
              <w:spacing w:after="0" w:line="240" w:lineRule="auto"/>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color w:val="5F5E5C"/>
                <w:sz w:val="20"/>
                <w:szCs w:val="20"/>
                <w:lang w:eastAsia="el-GR"/>
              </w:rPr>
              <w:lastRenderedPageBreak/>
              <w:t> </w:t>
            </w:r>
          </w:p>
          <w:p w:rsidR="00583928" w:rsidRPr="00583928" w:rsidRDefault="00583928" w:rsidP="00583928">
            <w:pPr>
              <w:spacing w:after="0" w:line="240" w:lineRule="auto"/>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 </w:t>
            </w:r>
          </w:p>
          <w:p w:rsidR="00583928" w:rsidRPr="00583928" w:rsidRDefault="00583928" w:rsidP="00583928">
            <w:pPr>
              <w:spacing w:after="0" w:line="240" w:lineRule="auto"/>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color w:val="5F5E5C"/>
                <w:sz w:val="20"/>
                <w:szCs w:val="20"/>
                <w:lang w:eastAsia="el-GR"/>
              </w:rPr>
              <w:t> </w:t>
            </w:r>
          </w:p>
          <w:p w:rsidR="00583928" w:rsidRPr="00583928" w:rsidRDefault="00583928" w:rsidP="00583928">
            <w:pPr>
              <w:spacing w:after="0" w:line="240" w:lineRule="auto"/>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      Οι υποψήφιοι  πρέπει να είναι ηλικίας από 18 έως 65 ετών.       </w:t>
            </w:r>
          </w:p>
          <w:p w:rsidR="00583928" w:rsidRPr="00583928" w:rsidRDefault="00583928" w:rsidP="00583928">
            <w:pPr>
              <w:spacing w:after="0" w:line="240" w:lineRule="auto"/>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u w:val="single"/>
                <w:lang w:eastAsia="el-GR"/>
              </w:rPr>
              <w:t>ΒΑΘΜΟΛΟΓΗΣΗ ΚΡΙΤΗΡΙΩΝ</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Η σειρά κατάταξης μεταξύ των υποψηφίων καθορίζεται με βάση τα ακόλουθα κριτήρια:</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90"/>
            </w:tblGrid>
            <w:tr w:rsidR="00583928" w:rsidRPr="00583928">
              <w:trPr>
                <w:tblCellSpacing w:w="0" w:type="dxa"/>
              </w:trPr>
              <w:tc>
                <w:tcPr>
                  <w:tcW w:w="9855"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ΠΙΝΑΚΑΣ ΒΑΘΜΟΛΟΓΗΣΗΣ ΚΡΙΤΗΡΙΩΝ</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1. ΧΡΟΝΟΣ ΑΝΕΡΓΙΑΣ (200 μονάδες για 4 μήνες ανεργίας και 75 μονάδες ανά μήνα ανεργίας άνω των 4 μηνών, με ανώτατο όριο τους 12 μήνες)</w:t>
                  </w:r>
                </w:p>
                <w:tbl>
                  <w:tblPr>
                    <w:tblW w:w="9735" w:type="dxa"/>
                    <w:tblCellSpacing w:w="0" w:type="dxa"/>
                    <w:tblCellMar>
                      <w:left w:w="0" w:type="dxa"/>
                      <w:right w:w="0" w:type="dxa"/>
                    </w:tblCellMar>
                    <w:tblLook w:val="04A0"/>
                  </w:tblPr>
                  <w:tblGrid>
                    <w:gridCol w:w="994"/>
                    <w:gridCol w:w="482"/>
                    <w:gridCol w:w="482"/>
                    <w:gridCol w:w="482"/>
                    <w:gridCol w:w="752"/>
                    <w:gridCol w:w="752"/>
                    <w:gridCol w:w="752"/>
                    <w:gridCol w:w="752"/>
                    <w:gridCol w:w="752"/>
                    <w:gridCol w:w="752"/>
                    <w:gridCol w:w="752"/>
                    <w:gridCol w:w="752"/>
                    <w:gridCol w:w="1279"/>
                  </w:tblGrid>
                  <w:tr w:rsidR="00583928" w:rsidRPr="00583928">
                    <w:trPr>
                      <w:trHeight w:val="225"/>
                      <w:tblCellSpacing w:w="0" w:type="dxa"/>
                    </w:trPr>
                    <w:tc>
                      <w:tcPr>
                        <w:tcW w:w="99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μήνες</w:t>
                        </w:r>
                      </w:p>
                    </w:tc>
                    <w:tc>
                      <w:tcPr>
                        <w:tcW w:w="48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w:t>
                        </w:r>
                      </w:p>
                    </w:tc>
                    <w:tc>
                      <w:tcPr>
                        <w:tcW w:w="48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w:t>
                        </w:r>
                      </w:p>
                    </w:tc>
                    <w:tc>
                      <w:tcPr>
                        <w:tcW w:w="48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w:t>
                        </w:r>
                      </w:p>
                    </w:tc>
                    <w:tc>
                      <w:tcPr>
                        <w:tcW w:w="75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4</w:t>
                        </w:r>
                      </w:p>
                    </w:tc>
                    <w:tc>
                      <w:tcPr>
                        <w:tcW w:w="75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w:t>
                        </w:r>
                      </w:p>
                    </w:tc>
                    <w:tc>
                      <w:tcPr>
                        <w:tcW w:w="75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6</w:t>
                        </w:r>
                      </w:p>
                    </w:tc>
                    <w:tc>
                      <w:tcPr>
                        <w:tcW w:w="75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7</w:t>
                        </w:r>
                      </w:p>
                    </w:tc>
                    <w:tc>
                      <w:tcPr>
                        <w:tcW w:w="75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8</w:t>
                        </w:r>
                      </w:p>
                    </w:tc>
                    <w:tc>
                      <w:tcPr>
                        <w:tcW w:w="75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9</w:t>
                        </w:r>
                      </w:p>
                    </w:tc>
                    <w:tc>
                      <w:tcPr>
                        <w:tcW w:w="75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10</w:t>
                        </w:r>
                      </w:p>
                    </w:tc>
                    <w:tc>
                      <w:tcPr>
                        <w:tcW w:w="75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11</w:t>
                        </w:r>
                      </w:p>
                    </w:tc>
                    <w:tc>
                      <w:tcPr>
                        <w:tcW w:w="127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12 και άνω</w:t>
                        </w:r>
                      </w:p>
                    </w:tc>
                  </w:tr>
                  <w:tr w:rsidR="00583928" w:rsidRPr="00583928">
                    <w:trPr>
                      <w:trHeight w:val="225"/>
                      <w:tblCellSpacing w:w="0" w:type="dxa"/>
                    </w:trPr>
                    <w:tc>
                      <w:tcPr>
                        <w:tcW w:w="99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μονάδες</w:t>
                        </w:r>
                      </w:p>
                    </w:tc>
                    <w:tc>
                      <w:tcPr>
                        <w:tcW w:w="48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0</w:t>
                        </w:r>
                      </w:p>
                    </w:tc>
                    <w:tc>
                      <w:tcPr>
                        <w:tcW w:w="48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0</w:t>
                        </w:r>
                      </w:p>
                    </w:tc>
                    <w:tc>
                      <w:tcPr>
                        <w:tcW w:w="48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0</w:t>
                        </w:r>
                      </w:p>
                    </w:tc>
                    <w:tc>
                      <w:tcPr>
                        <w:tcW w:w="75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200</w:t>
                        </w:r>
                      </w:p>
                    </w:tc>
                    <w:tc>
                      <w:tcPr>
                        <w:tcW w:w="75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275</w:t>
                        </w:r>
                      </w:p>
                    </w:tc>
                    <w:tc>
                      <w:tcPr>
                        <w:tcW w:w="75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350</w:t>
                        </w:r>
                      </w:p>
                    </w:tc>
                    <w:tc>
                      <w:tcPr>
                        <w:tcW w:w="75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425</w:t>
                        </w:r>
                      </w:p>
                    </w:tc>
                    <w:tc>
                      <w:tcPr>
                        <w:tcW w:w="75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500</w:t>
                        </w:r>
                      </w:p>
                    </w:tc>
                    <w:tc>
                      <w:tcPr>
                        <w:tcW w:w="75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575</w:t>
                        </w:r>
                      </w:p>
                    </w:tc>
                    <w:tc>
                      <w:tcPr>
                        <w:tcW w:w="75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650</w:t>
                        </w:r>
                      </w:p>
                    </w:tc>
                    <w:tc>
                      <w:tcPr>
                        <w:tcW w:w="75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725</w:t>
                        </w:r>
                      </w:p>
                    </w:tc>
                    <w:tc>
                      <w:tcPr>
                        <w:tcW w:w="127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800</w:t>
                        </w:r>
                      </w:p>
                    </w:tc>
                  </w:tr>
                </w:tbl>
                <w:p w:rsidR="00583928" w:rsidRPr="00583928" w:rsidRDefault="00583928" w:rsidP="00583928">
                  <w:pPr>
                    <w:spacing w:after="0" w:line="240" w:lineRule="auto"/>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2. ή 3. ΠΟΛΥΤΕΚΝΟΣ Η΄ ΤΕΚΝΟ ΠΟΛΥΤΕΚΝΗΣ ΟΙΚΟΓΕΝΕΙΑΣ (50 μονάδες για κάθε τέκνο)</w:t>
                  </w:r>
                </w:p>
                <w:tbl>
                  <w:tblPr>
                    <w:tblW w:w="0" w:type="auto"/>
                    <w:tblCellSpacing w:w="0" w:type="dxa"/>
                    <w:tblCellMar>
                      <w:left w:w="0" w:type="dxa"/>
                      <w:right w:w="0" w:type="dxa"/>
                    </w:tblCellMar>
                    <w:tblLook w:val="04A0"/>
                  </w:tblPr>
                  <w:tblGrid>
                    <w:gridCol w:w="1695"/>
                    <w:gridCol w:w="705"/>
                    <w:gridCol w:w="705"/>
                    <w:gridCol w:w="705"/>
                    <w:gridCol w:w="705"/>
                    <w:gridCol w:w="705"/>
                    <w:gridCol w:w="705"/>
                    <w:gridCol w:w="705"/>
                    <w:gridCol w:w="705"/>
                    <w:gridCol w:w="327"/>
                    <w:gridCol w:w="328"/>
                    <w:gridCol w:w="270"/>
                  </w:tblGrid>
                  <w:tr w:rsidR="00583928" w:rsidRPr="00583928">
                    <w:trPr>
                      <w:trHeight w:val="225"/>
                      <w:tblCellSpacing w:w="0" w:type="dxa"/>
                    </w:trPr>
                    <w:tc>
                      <w:tcPr>
                        <w:tcW w:w="169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αριθμός τέκνων</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4</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6</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7</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8</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9</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10</w:t>
                        </w:r>
                      </w:p>
                    </w:tc>
                    <w:tc>
                      <w:tcPr>
                        <w:tcW w:w="70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11</w:t>
                        </w:r>
                      </w:p>
                    </w:tc>
                    <w:tc>
                      <w:tcPr>
                        <w:tcW w:w="70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12</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r>
                  <w:tr w:rsidR="00583928" w:rsidRPr="00583928">
                    <w:trPr>
                      <w:trHeight w:val="225"/>
                      <w:tblCellSpacing w:w="0" w:type="dxa"/>
                    </w:trPr>
                    <w:tc>
                      <w:tcPr>
                        <w:tcW w:w="169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μονάδες</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150</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200</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250</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300</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350</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400</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450</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500</w:t>
                        </w:r>
                      </w:p>
                    </w:tc>
                    <w:tc>
                      <w:tcPr>
                        <w:tcW w:w="70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550</w:t>
                        </w:r>
                      </w:p>
                    </w:tc>
                    <w:tc>
                      <w:tcPr>
                        <w:tcW w:w="70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600</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r>
                </w:tbl>
                <w:p w:rsidR="00583928" w:rsidRPr="00583928" w:rsidRDefault="00583928" w:rsidP="00583928">
                  <w:pPr>
                    <w:spacing w:after="0" w:line="240" w:lineRule="auto"/>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      *αφορά μόνο τις ειδικές περιπτώσεις </w:t>
                  </w:r>
                  <w:r w:rsidRPr="00583928">
                    <w:rPr>
                      <w:rFonts w:ascii="inherit" w:eastAsia="Times New Roman" w:hAnsi="inherit" w:cs="Times New Roman"/>
                      <w:b/>
                      <w:bCs/>
                      <w:sz w:val="20"/>
                      <w:u w:val="single"/>
                      <w:lang w:eastAsia="el-GR"/>
                    </w:rPr>
                    <w:t>πολυτεκνίας</w:t>
                  </w:r>
                  <w:r w:rsidRPr="00583928">
                    <w:rPr>
                      <w:rFonts w:ascii="inherit" w:eastAsia="Times New Roman" w:hAnsi="inherit" w:cs="Times New Roman"/>
                      <w:b/>
                      <w:bCs/>
                      <w:sz w:val="20"/>
                      <w:lang w:eastAsia="el-GR"/>
                    </w:rPr>
                    <w:t> με τρία (3) τέκνα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4. ή 5. ΤΡΙΤΕΚΝΟΣ Η΄ ΤΕΚΝΟ ΤΡΙΤΕΚΝΗΣ ΟΙΚΟΓΕΝΕΙΑΣ (40 μονάδες για κάθε τέκνο)</w:t>
                  </w:r>
                </w:p>
                <w:tbl>
                  <w:tblPr>
                    <w:tblW w:w="0" w:type="auto"/>
                    <w:tblCellSpacing w:w="0" w:type="dxa"/>
                    <w:tblCellMar>
                      <w:left w:w="0" w:type="dxa"/>
                      <w:right w:w="0" w:type="dxa"/>
                    </w:tblCellMar>
                    <w:tblLook w:val="04A0"/>
                  </w:tblPr>
                  <w:tblGrid>
                    <w:gridCol w:w="1695"/>
                    <w:gridCol w:w="705"/>
                    <w:gridCol w:w="705"/>
                    <w:gridCol w:w="705"/>
                    <w:gridCol w:w="705"/>
                    <w:gridCol w:w="705"/>
                    <w:gridCol w:w="705"/>
                    <w:gridCol w:w="705"/>
                    <w:gridCol w:w="705"/>
                    <w:gridCol w:w="332"/>
                    <w:gridCol w:w="332"/>
                    <w:gridCol w:w="261"/>
                  </w:tblGrid>
                  <w:tr w:rsidR="00583928" w:rsidRPr="00583928">
                    <w:trPr>
                      <w:trHeight w:val="225"/>
                      <w:tblCellSpacing w:w="0" w:type="dxa"/>
                    </w:trPr>
                    <w:tc>
                      <w:tcPr>
                        <w:tcW w:w="169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αριθμός τέκνων</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70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70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r>
                  <w:tr w:rsidR="00583928" w:rsidRPr="00583928">
                    <w:trPr>
                      <w:trHeight w:val="225"/>
                      <w:tblCellSpacing w:w="0" w:type="dxa"/>
                    </w:trPr>
                    <w:tc>
                      <w:tcPr>
                        <w:tcW w:w="169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μονάδες</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120</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70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70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r>
                </w:tbl>
                <w:p w:rsidR="00583928" w:rsidRPr="00583928" w:rsidRDefault="00583928" w:rsidP="00583928">
                  <w:pPr>
                    <w:spacing w:after="0" w:line="240" w:lineRule="auto"/>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6. ΑΝΗΛΙΚΑ ΤΕΚΝΑ (30 μονάδες για καθένα από τα δύο πρώτα τέκνα και 50 μονάδες για το τρίτο)</w:t>
                  </w:r>
                </w:p>
                <w:tbl>
                  <w:tblPr>
                    <w:tblW w:w="3600" w:type="dxa"/>
                    <w:tblCellSpacing w:w="0" w:type="dxa"/>
                    <w:tblCellMar>
                      <w:left w:w="0" w:type="dxa"/>
                      <w:right w:w="0" w:type="dxa"/>
                    </w:tblCellMar>
                    <w:tblLook w:val="04A0"/>
                  </w:tblPr>
                  <w:tblGrid>
                    <w:gridCol w:w="1440"/>
                    <w:gridCol w:w="720"/>
                    <w:gridCol w:w="720"/>
                    <w:gridCol w:w="720"/>
                  </w:tblGrid>
                  <w:tr w:rsidR="00583928" w:rsidRPr="00583928">
                    <w:trPr>
                      <w:trHeight w:val="225"/>
                      <w:tblCellSpacing w:w="0" w:type="dxa"/>
                    </w:trPr>
                    <w:tc>
                      <w:tcPr>
                        <w:tcW w:w="144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αριθμός τέκνων</w:t>
                        </w:r>
                      </w:p>
                    </w:tc>
                    <w:tc>
                      <w:tcPr>
                        <w:tcW w:w="72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w:t>
                        </w:r>
                      </w:p>
                    </w:tc>
                    <w:tc>
                      <w:tcPr>
                        <w:tcW w:w="72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w:t>
                        </w:r>
                      </w:p>
                    </w:tc>
                    <w:tc>
                      <w:tcPr>
                        <w:tcW w:w="72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w:t>
                        </w:r>
                      </w:p>
                    </w:tc>
                  </w:tr>
                  <w:tr w:rsidR="00583928" w:rsidRPr="00583928">
                    <w:trPr>
                      <w:trHeight w:val="225"/>
                      <w:tblCellSpacing w:w="0" w:type="dxa"/>
                    </w:trPr>
                    <w:tc>
                      <w:tcPr>
                        <w:tcW w:w="144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lastRenderedPageBreak/>
                          <w:t>μονάδες</w:t>
                        </w:r>
                      </w:p>
                    </w:tc>
                    <w:tc>
                      <w:tcPr>
                        <w:tcW w:w="72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30</w:t>
                        </w:r>
                      </w:p>
                    </w:tc>
                    <w:tc>
                      <w:tcPr>
                        <w:tcW w:w="72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60</w:t>
                        </w:r>
                      </w:p>
                    </w:tc>
                    <w:tc>
                      <w:tcPr>
                        <w:tcW w:w="720"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110</w:t>
                        </w:r>
                      </w:p>
                    </w:tc>
                  </w:tr>
                </w:tbl>
                <w:p w:rsidR="00583928" w:rsidRPr="00583928" w:rsidRDefault="00583928" w:rsidP="00583928">
                  <w:pPr>
                    <w:spacing w:after="0" w:line="240" w:lineRule="auto"/>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7. ή 8. ΓΟΝΕΑΣ Η΄ ΤΕΚΝΟ ΜΟΝΟΓΟΝΕΪΚΗΣ ΟΙΚΟΓΕΝΕΙΑΣ (50 μονάδες για κάθε τέκνο)</w:t>
                  </w:r>
                </w:p>
                <w:tbl>
                  <w:tblPr>
                    <w:tblW w:w="0" w:type="auto"/>
                    <w:tblCellSpacing w:w="0" w:type="dxa"/>
                    <w:tblCellMar>
                      <w:left w:w="0" w:type="dxa"/>
                      <w:right w:w="0" w:type="dxa"/>
                    </w:tblCellMar>
                    <w:tblLook w:val="04A0"/>
                  </w:tblPr>
                  <w:tblGrid>
                    <w:gridCol w:w="1695"/>
                    <w:gridCol w:w="705"/>
                    <w:gridCol w:w="705"/>
                    <w:gridCol w:w="705"/>
                    <w:gridCol w:w="705"/>
                    <w:gridCol w:w="705"/>
                    <w:gridCol w:w="540"/>
                  </w:tblGrid>
                  <w:tr w:rsidR="00583928" w:rsidRPr="00583928">
                    <w:trPr>
                      <w:trHeight w:val="225"/>
                      <w:tblCellSpacing w:w="0" w:type="dxa"/>
                    </w:trPr>
                    <w:tc>
                      <w:tcPr>
                        <w:tcW w:w="169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αριθμός τέκνων</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4</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r>
                  <w:tr w:rsidR="00583928" w:rsidRPr="00583928">
                    <w:trPr>
                      <w:trHeight w:val="225"/>
                      <w:tblCellSpacing w:w="0" w:type="dxa"/>
                    </w:trPr>
                    <w:tc>
                      <w:tcPr>
                        <w:tcW w:w="169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μονάδες</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50</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100</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150</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200</w:t>
                        </w:r>
                      </w:p>
                    </w:tc>
                    <w:tc>
                      <w:tcPr>
                        <w:tcW w:w="705" w:type="dxa"/>
                        <w:noWrap/>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250</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r>
                </w:tbl>
                <w:p w:rsidR="00583928" w:rsidRPr="00583928" w:rsidRDefault="00583928" w:rsidP="00583928">
                  <w:pPr>
                    <w:spacing w:after="0" w:line="240" w:lineRule="auto"/>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9. ΒΑΘΜΟΣ ΒΑΣΙΚΟΥ ΤΙΤΛΟΥ  (για ΠΕ και ΤΕ οι μονάδες του βασικού τίτλου με 2 δεκαδικά ψηφία πολλαπλασιάζονται με το 40, ενώ για ΔΕ με το 20)</w:t>
                  </w:r>
                </w:p>
                <w:tbl>
                  <w:tblPr>
                    <w:tblW w:w="10095" w:type="dxa"/>
                    <w:tblCellSpacing w:w="0" w:type="dxa"/>
                    <w:tblCellMar>
                      <w:left w:w="0" w:type="dxa"/>
                      <w:right w:w="0" w:type="dxa"/>
                    </w:tblCellMar>
                    <w:tblLook w:val="04A0"/>
                  </w:tblPr>
                  <w:tblGrid>
                    <w:gridCol w:w="2646"/>
                    <w:gridCol w:w="421"/>
                    <w:gridCol w:w="280"/>
                    <w:gridCol w:w="421"/>
                    <w:gridCol w:w="281"/>
                    <w:gridCol w:w="422"/>
                    <w:gridCol w:w="281"/>
                    <w:gridCol w:w="422"/>
                    <w:gridCol w:w="281"/>
                    <w:gridCol w:w="422"/>
                    <w:gridCol w:w="281"/>
                    <w:gridCol w:w="422"/>
                    <w:gridCol w:w="281"/>
                    <w:gridCol w:w="422"/>
                    <w:gridCol w:w="281"/>
                    <w:gridCol w:w="422"/>
                    <w:gridCol w:w="281"/>
                    <w:gridCol w:w="422"/>
                    <w:gridCol w:w="281"/>
                    <w:gridCol w:w="422"/>
                    <w:gridCol w:w="281"/>
                    <w:gridCol w:w="422"/>
                  </w:tblGrid>
                  <w:tr w:rsidR="00583928" w:rsidRPr="00583928">
                    <w:trPr>
                      <w:trHeight w:val="225"/>
                      <w:tblCellSpacing w:w="0" w:type="dxa"/>
                    </w:trPr>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κατηγορίες  ΠΕ &amp; ΤΕ</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5,5</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6</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6,5</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7</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7,5</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8</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8,5</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9</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9,5</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10</w:t>
                        </w:r>
                      </w:p>
                    </w:tc>
                  </w:tr>
                  <w:tr w:rsidR="00583928" w:rsidRPr="00583928">
                    <w:trPr>
                      <w:trHeight w:val="225"/>
                      <w:tblCellSpacing w:w="0" w:type="dxa"/>
                    </w:trPr>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κατηγορία ΔΕ</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10</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11</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12</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13</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14</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15</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16</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17</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18</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19</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20</w:t>
                        </w:r>
                      </w:p>
                    </w:tc>
                  </w:tr>
                  <w:tr w:rsidR="00583928" w:rsidRPr="00583928">
                    <w:trPr>
                      <w:trHeight w:val="225"/>
                      <w:tblCellSpacing w:w="0" w:type="dxa"/>
                    </w:trPr>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μονάδες</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200</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220</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240</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260</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280</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300</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320</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340</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360</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380</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0" w:type="auto"/>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400</w:t>
                        </w:r>
                      </w:p>
                    </w:tc>
                  </w:tr>
                </w:tbl>
                <w:p w:rsidR="00583928" w:rsidRPr="00583928" w:rsidRDefault="00583928" w:rsidP="00583928">
                  <w:pPr>
                    <w:spacing w:after="0" w:line="240" w:lineRule="auto"/>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10. ΕΜΠΕΙΡΙΑ (7 μονάδες ανά μήνα εμπειρίας και έως 60 μήνες)</w:t>
                  </w:r>
                </w:p>
                <w:tbl>
                  <w:tblPr>
                    <w:tblW w:w="10080" w:type="dxa"/>
                    <w:tblCellSpacing w:w="0" w:type="dxa"/>
                    <w:tblCellMar>
                      <w:left w:w="0" w:type="dxa"/>
                      <w:right w:w="0" w:type="dxa"/>
                    </w:tblCellMar>
                    <w:tblLook w:val="04A0"/>
                  </w:tblPr>
                  <w:tblGrid>
                    <w:gridCol w:w="1420"/>
                    <w:gridCol w:w="357"/>
                    <w:gridCol w:w="433"/>
                    <w:gridCol w:w="433"/>
                    <w:gridCol w:w="359"/>
                    <w:gridCol w:w="359"/>
                    <w:gridCol w:w="434"/>
                    <w:gridCol w:w="434"/>
                    <w:gridCol w:w="434"/>
                    <w:gridCol w:w="434"/>
                    <w:gridCol w:w="434"/>
                    <w:gridCol w:w="434"/>
                    <w:gridCol w:w="434"/>
                    <w:gridCol w:w="434"/>
                    <w:gridCol w:w="434"/>
                    <w:gridCol w:w="419"/>
                    <w:gridCol w:w="509"/>
                    <w:gridCol w:w="509"/>
                    <w:gridCol w:w="509"/>
                    <w:gridCol w:w="867"/>
                  </w:tblGrid>
                  <w:tr w:rsidR="00583928" w:rsidRPr="00583928">
                    <w:trPr>
                      <w:trHeight w:val="225"/>
                      <w:tblCellSpacing w:w="0" w:type="dxa"/>
                    </w:trPr>
                    <w:tc>
                      <w:tcPr>
                        <w:tcW w:w="142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μήνες εμπειρίας</w:t>
                        </w:r>
                      </w:p>
                    </w:tc>
                    <w:tc>
                      <w:tcPr>
                        <w:tcW w:w="36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w:t>
                        </w:r>
                      </w:p>
                    </w:tc>
                    <w:tc>
                      <w:tcPr>
                        <w:tcW w:w="36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4</w:t>
                        </w:r>
                      </w:p>
                    </w:tc>
                    <w:tc>
                      <w:tcPr>
                        <w:tcW w:w="36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6</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7</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8</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9</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10</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11</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12</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13</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14</w:t>
                        </w:r>
                      </w:p>
                    </w:tc>
                    <w:tc>
                      <w:tcPr>
                        <w:tcW w:w="42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51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57</w:t>
                        </w:r>
                      </w:p>
                    </w:tc>
                    <w:tc>
                      <w:tcPr>
                        <w:tcW w:w="51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58</w:t>
                        </w:r>
                      </w:p>
                    </w:tc>
                    <w:tc>
                      <w:tcPr>
                        <w:tcW w:w="51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59</w:t>
                        </w:r>
                      </w:p>
                    </w:tc>
                    <w:tc>
                      <w:tcPr>
                        <w:tcW w:w="87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60 και άνω</w:t>
                        </w:r>
                      </w:p>
                    </w:tc>
                  </w:tr>
                  <w:tr w:rsidR="00583928" w:rsidRPr="00583928">
                    <w:trPr>
                      <w:trHeight w:val="225"/>
                      <w:tblCellSpacing w:w="0" w:type="dxa"/>
                    </w:trPr>
                    <w:tc>
                      <w:tcPr>
                        <w:tcW w:w="142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μονάδες</w:t>
                        </w:r>
                      </w:p>
                    </w:tc>
                    <w:tc>
                      <w:tcPr>
                        <w:tcW w:w="36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7</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14</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21</w:t>
                        </w:r>
                      </w:p>
                    </w:tc>
                    <w:tc>
                      <w:tcPr>
                        <w:tcW w:w="36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28</w:t>
                        </w:r>
                      </w:p>
                    </w:tc>
                    <w:tc>
                      <w:tcPr>
                        <w:tcW w:w="36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35</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42</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49</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56</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63</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70</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77</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84</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91</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98</w:t>
                        </w:r>
                      </w:p>
                    </w:tc>
                    <w:tc>
                      <w:tcPr>
                        <w:tcW w:w="42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51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399</w:t>
                        </w:r>
                      </w:p>
                    </w:tc>
                    <w:tc>
                      <w:tcPr>
                        <w:tcW w:w="51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406</w:t>
                        </w:r>
                      </w:p>
                    </w:tc>
                    <w:tc>
                      <w:tcPr>
                        <w:tcW w:w="51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413</w:t>
                        </w:r>
                      </w:p>
                    </w:tc>
                    <w:tc>
                      <w:tcPr>
                        <w:tcW w:w="87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420</w:t>
                        </w:r>
                      </w:p>
                    </w:tc>
                  </w:tr>
                </w:tbl>
                <w:p w:rsidR="00583928" w:rsidRPr="00583928" w:rsidRDefault="00583928" w:rsidP="00583928">
                  <w:pPr>
                    <w:spacing w:after="0" w:line="240" w:lineRule="auto"/>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11. ΑΝΑΠΗΡΙΑ ΥΠΟΨΗΦΙΟΥ ΜΕ ΠΟΣΟΣΤΟ ΤΟΥΛΑΧΙΣΤΟΝ 50% (το ποσοστό αναπηρίας πολλαπλασιάζεται με το συντελεστή “3”)</w:t>
                  </w:r>
                </w:p>
                <w:tbl>
                  <w:tblPr>
                    <w:tblW w:w="9330" w:type="dxa"/>
                    <w:tblCellSpacing w:w="0" w:type="dxa"/>
                    <w:tblCellMar>
                      <w:left w:w="0" w:type="dxa"/>
                      <w:right w:w="0" w:type="dxa"/>
                    </w:tblCellMar>
                    <w:tblLook w:val="04A0"/>
                  </w:tblPr>
                  <w:tblGrid>
                    <w:gridCol w:w="1425"/>
                    <w:gridCol w:w="555"/>
                    <w:gridCol w:w="539"/>
                    <w:gridCol w:w="540"/>
                    <w:gridCol w:w="539"/>
                    <w:gridCol w:w="539"/>
                    <w:gridCol w:w="359"/>
                    <w:gridCol w:w="434"/>
                    <w:gridCol w:w="434"/>
                    <w:gridCol w:w="434"/>
                    <w:gridCol w:w="434"/>
                    <w:gridCol w:w="434"/>
                    <w:gridCol w:w="434"/>
                    <w:gridCol w:w="434"/>
                    <w:gridCol w:w="434"/>
                    <w:gridCol w:w="434"/>
                    <w:gridCol w:w="419"/>
                    <w:gridCol w:w="509"/>
                  </w:tblGrid>
                  <w:tr w:rsidR="00583928" w:rsidRPr="00583928">
                    <w:trPr>
                      <w:trHeight w:val="225"/>
                      <w:tblCellSpacing w:w="0" w:type="dxa"/>
                    </w:trPr>
                    <w:tc>
                      <w:tcPr>
                        <w:tcW w:w="142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ποσοστό αναπηρίας</w:t>
                        </w:r>
                      </w:p>
                    </w:tc>
                    <w:tc>
                      <w:tcPr>
                        <w:tcW w:w="55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50%</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60%</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36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2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51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r>
                  <w:tr w:rsidR="00583928" w:rsidRPr="00583928">
                    <w:trPr>
                      <w:trHeight w:val="225"/>
                      <w:tblCellSpacing w:w="0" w:type="dxa"/>
                    </w:trPr>
                    <w:tc>
                      <w:tcPr>
                        <w:tcW w:w="142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μονάδες</w:t>
                        </w:r>
                      </w:p>
                    </w:tc>
                    <w:tc>
                      <w:tcPr>
                        <w:tcW w:w="55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150</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180</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36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2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51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r>
                </w:tbl>
                <w:p w:rsidR="00583928" w:rsidRPr="00583928" w:rsidRDefault="00583928" w:rsidP="00583928">
                  <w:pPr>
                    <w:spacing w:after="0" w:line="240" w:lineRule="auto"/>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12. ΑΝΑΠΗΡΙΑ ΓΟΝΕΑ, ΤΕΚΝΟΥ, ΑΔΕΛΦΟΥ Ή ΣΥΖΥΓΟΥ (το ποσοστό αναπηρίας πολλαπλασιάζεται με το συντελεστή “2”)</w:t>
                  </w:r>
                </w:p>
                <w:tbl>
                  <w:tblPr>
                    <w:tblW w:w="10170" w:type="dxa"/>
                    <w:tblCellSpacing w:w="0" w:type="dxa"/>
                    <w:tblCellMar>
                      <w:left w:w="0" w:type="dxa"/>
                      <w:right w:w="0" w:type="dxa"/>
                    </w:tblCellMar>
                    <w:tblLook w:val="04A0"/>
                  </w:tblPr>
                  <w:tblGrid>
                    <w:gridCol w:w="1424"/>
                    <w:gridCol w:w="555"/>
                    <w:gridCol w:w="539"/>
                    <w:gridCol w:w="540"/>
                    <w:gridCol w:w="539"/>
                    <w:gridCol w:w="540"/>
                    <w:gridCol w:w="539"/>
                    <w:gridCol w:w="540"/>
                    <w:gridCol w:w="539"/>
                    <w:gridCol w:w="434"/>
                    <w:gridCol w:w="434"/>
                    <w:gridCol w:w="434"/>
                    <w:gridCol w:w="434"/>
                    <w:gridCol w:w="434"/>
                    <w:gridCol w:w="434"/>
                    <w:gridCol w:w="434"/>
                    <w:gridCol w:w="509"/>
                    <w:gridCol w:w="868"/>
                  </w:tblGrid>
                  <w:tr w:rsidR="00583928" w:rsidRPr="00583928">
                    <w:trPr>
                      <w:trHeight w:val="225"/>
                      <w:tblCellSpacing w:w="0" w:type="dxa"/>
                    </w:trPr>
                    <w:tc>
                      <w:tcPr>
                        <w:tcW w:w="142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ποσοστό αναπηρίας</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p>
                    </w:tc>
                    <w:tc>
                      <w:tcPr>
                        <w:tcW w:w="55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50%</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60%</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67%</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70%</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51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87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r>
                  <w:tr w:rsidR="00583928" w:rsidRPr="00583928">
                    <w:trPr>
                      <w:trHeight w:val="225"/>
                      <w:tblCellSpacing w:w="0" w:type="dxa"/>
                    </w:trPr>
                    <w:tc>
                      <w:tcPr>
                        <w:tcW w:w="142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Μονάδες</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 </w:t>
                        </w:r>
                      </w:p>
                    </w:tc>
                    <w:tc>
                      <w:tcPr>
                        <w:tcW w:w="55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100</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120</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134</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140</w:t>
                        </w:r>
                      </w:p>
                    </w:tc>
                    <w:tc>
                      <w:tcPr>
                        <w:tcW w:w="54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435"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51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c>
                      <w:tcPr>
                        <w:tcW w:w="870" w:type="dxa"/>
                        <w:vAlign w:val="center"/>
                        <w:hideMark/>
                      </w:tcPr>
                      <w:p w:rsidR="00583928" w:rsidRPr="00583928" w:rsidRDefault="00583928" w:rsidP="00583928">
                        <w:pPr>
                          <w:spacing w:after="0" w:line="225" w:lineRule="atLeast"/>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 </w:t>
                        </w:r>
                      </w:p>
                    </w:tc>
                  </w:tr>
                </w:tbl>
                <w:p w:rsidR="00583928" w:rsidRPr="00583928" w:rsidRDefault="00583928" w:rsidP="00583928">
                  <w:pPr>
                    <w:spacing w:after="0" w:line="240" w:lineRule="auto"/>
                    <w:jc w:val="both"/>
                    <w:textAlignment w:val="baseline"/>
                    <w:rPr>
                      <w:rFonts w:ascii="inherit" w:eastAsia="Times New Roman" w:hAnsi="inherit" w:cs="Times New Roman"/>
                      <w:sz w:val="20"/>
                      <w:szCs w:val="20"/>
                      <w:lang w:eastAsia="el-GR"/>
                    </w:rPr>
                  </w:pPr>
                  <w:r w:rsidRPr="00583928">
                    <w:rPr>
                      <w:rFonts w:ascii="inherit" w:eastAsia="Times New Roman" w:hAnsi="inherit" w:cs="Times New Roman"/>
                      <w:sz w:val="20"/>
                      <w:szCs w:val="20"/>
                      <w:lang w:eastAsia="el-GR"/>
                    </w:rPr>
                    <w:t> </w:t>
                  </w:r>
                </w:p>
              </w:tc>
            </w:tr>
          </w:tbl>
          <w:p w:rsidR="00583928" w:rsidRPr="00583928" w:rsidRDefault="00583928" w:rsidP="00583928">
            <w:pPr>
              <w:spacing w:after="0" w:line="240" w:lineRule="auto"/>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lastRenderedPageBreak/>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u w:val="single"/>
                <w:lang w:eastAsia="el-GR"/>
              </w:rPr>
              <w:t>ΕΜΠΕΙΡΙΑ</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ΒΑΘΜΟΛΟΓΟΥΜΕΝΗ ΕΜΠΕΙΡΙΑ ΥΠΟΨΗΦΙΩΝ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p>
          <w:tbl>
            <w:tblPr>
              <w:tblW w:w="53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79"/>
              <w:gridCol w:w="6408"/>
            </w:tblGrid>
            <w:tr w:rsidR="00583928" w:rsidRPr="00583928">
              <w:trPr>
                <w:trHeight w:val="930"/>
                <w:tblCellSpacing w:w="0" w:type="dxa"/>
              </w:trPr>
              <w:tc>
                <w:tcPr>
                  <w:tcW w:w="10815" w:type="dxa"/>
                  <w:gridSpan w:val="2"/>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Ως βαθμολογούμενη εμπειρία για τον παρακάτω κωδικό θέσεως νοείται η απασχόληση με σχέση εργασίας ή σύμβαση έργου στο δημόσιο ή ιδιωτικό τομέα ή άσκηση επαγγέλματος σε καθήκοντα ή έργα συναφή με το αντικείμενο της προς πλήρωση θέσεως.</w:t>
                  </w:r>
                </w:p>
              </w:tc>
            </w:tr>
            <w:tr w:rsidR="00583928" w:rsidRPr="00583928">
              <w:trPr>
                <w:trHeight w:val="420"/>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ΚΩΔΙΚΟΣ ΘΕΣΕΩΣ</w:t>
                  </w:r>
                </w:p>
              </w:tc>
              <w:tc>
                <w:tcPr>
                  <w:tcW w:w="7875"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ΕΜΠΕΙΡΙΑ ΚΑΙ ΤΡΟΠΟΣ ΑΠΟΔΕΙΞΗΣ</w:t>
                  </w:r>
                </w:p>
              </w:tc>
            </w:tr>
            <w:tr w:rsidR="00583928" w:rsidRPr="00583928">
              <w:trPr>
                <w:trHeight w:val="1980"/>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103</w:t>
                  </w:r>
                </w:p>
              </w:tc>
              <w:tc>
                <w:tcPr>
                  <w:tcW w:w="7875" w:type="dxa"/>
                  <w:tcBorders>
                    <w:top w:val="outset" w:sz="6" w:space="0" w:color="auto"/>
                    <w:left w:val="outset" w:sz="6" w:space="0" w:color="auto"/>
                    <w:bottom w:val="outset" w:sz="6" w:space="0" w:color="auto"/>
                    <w:right w:val="outset" w:sz="6" w:space="0" w:color="auto"/>
                  </w:tcBorders>
                  <w:vAlign w:val="center"/>
                  <w:hideMark/>
                </w:tcPr>
                <w:p w:rsidR="00583928" w:rsidRPr="00583928" w:rsidRDefault="00583928" w:rsidP="00583928">
                  <w:pPr>
                    <w:spacing w:after="0" w:line="240" w:lineRule="auto"/>
                    <w:jc w:val="both"/>
                    <w:rPr>
                      <w:rFonts w:ascii="Times New Roman" w:eastAsia="Times New Roman" w:hAnsi="Times New Roman" w:cs="Times New Roman"/>
                      <w:sz w:val="24"/>
                      <w:szCs w:val="24"/>
                      <w:lang w:eastAsia="el-GR"/>
                    </w:rPr>
                  </w:pPr>
                  <w:r w:rsidRPr="00583928">
                    <w:rPr>
                      <w:rFonts w:ascii="inherit" w:eastAsia="Times New Roman" w:hAnsi="inherit" w:cs="Times New Roman"/>
                      <w:b/>
                      <w:bCs/>
                      <w:sz w:val="20"/>
                      <w:lang w:eastAsia="el-GR"/>
                    </w:rPr>
                    <w:t>Η εμπειρία λαμβάνεται υπόψη μετά την απόκτηση της ζητούμενης από την παρούσα ανακοίνωση επαγγελματικής άδειας οδήγησης αυτοκινήτου.</w:t>
                  </w:r>
                  <w:r w:rsidRPr="00583928">
                    <w:rPr>
                      <w:rFonts w:ascii="inherit" w:eastAsia="Times New Roman" w:hAnsi="inherit" w:cs="Times New Roman"/>
                      <w:b/>
                      <w:bCs/>
                      <w:sz w:val="20"/>
                      <w:szCs w:val="20"/>
                      <w:bdr w:val="none" w:sz="0" w:space="0" w:color="auto" w:frame="1"/>
                      <w:lang w:eastAsia="el-GR"/>
                    </w:rPr>
                    <w:br/>
                  </w:r>
                  <w:r w:rsidRPr="00583928">
                    <w:rPr>
                      <w:rFonts w:ascii="inherit" w:eastAsia="Times New Roman" w:hAnsi="inherit" w:cs="Times New Roman"/>
                      <w:b/>
                      <w:bCs/>
                      <w:sz w:val="20"/>
                      <w:lang w:eastAsia="el-GR"/>
                    </w:rPr>
                    <w:t>Για την απόδειξη της εμπειρίας αυτής βλ. δικαιολογητικά περίπτωση Α(1) ή Ειδικές περιπτώσεις απόδειξης εμπειρίας του Παραρτήματος ανακοινώσεων Συμβάσεων εργασίας Ορισμένου Χρόνου (ΣΟΧ) - ΚΕΦΑΛΑΙΟ IΙ., στοιχείο 16. Πιστοποιητικά απόδειξης εμπειρίας.</w:t>
                  </w:r>
                </w:p>
              </w:tc>
            </w:tr>
          </w:tbl>
          <w:p w:rsidR="00583928" w:rsidRPr="00583928" w:rsidRDefault="00583928" w:rsidP="00583928">
            <w:pPr>
              <w:spacing w:after="0" w:line="240" w:lineRule="auto"/>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Οι τρόποι υπολογισμού της εμπειρίας περιγράφονται αναλυτικά στο «Παράρτημα ανακοινώσεων Συμβάσεων εργασίας Ορισμένου Χρόνου (ΣΟΧ)» (βλ. ΚΕΦΑΛΑΙΟ I., ενότητα Ε., υποενότητα «ΤΡΟΠΟΙ ΥΠΟΛΟΓΙΣΜΟΥ ΕΜΠΕΙΡΙΑΣ»).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u w:val="single"/>
                <w:lang w:eastAsia="el-GR"/>
              </w:rPr>
              <w:t>ΑΠΑΡΑΙΤΗΤΑ ΔΙΚΑΙΟΛΟΓΗΤΙΚΑ</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«Παράρτημα ανακοινώσεων Συμβάσεων εργασίας </w:t>
            </w:r>
            <w:r w:rsidRPr="00583928">
              <w:rPr>
                <w:rFonts w:ascii="inherit" w:eastAsia="Times New Roman" w:hAnsi="inherit" w:cs="Arial"/>
                <w:b/>
                <w:bCs/>
                <w:color w:val="5F5E5C"/>
                <w:sz w:val="20"/>
                <w:lang w:eastAsia="el-GR"/>
              </w:rPr>
              <w:lastRenderedPageBreak/>
              <w:t>Ορισμένου Χρόνου (ΣΟΧ)» δικαιολογητικά, σύμφωνα με τα οριζόμενα στην ενότητα «ΠΡΟΣΚΟΜΙΣΗ ΤΙΤΛΩΝ, ΠΙΣΤΟΠΟΙΗΤΙΚΩΝ ΚΑΙ ΒΕΒΑΙΩΣΕΩΝ» του Κεφαλαίου ΙΙ του ανωτέρω Παραρτήματος.</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p>
          <w:p w:rsidR="00583928" w:rsidRPr="00583928" w:rsidRDefault="00583928" w:rsidP="00583928">
            <w:pPr>
              <w:spacing w:after="0" w:line="240" w:lineRule="auto"/>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Κατά τα λοιπά ισχύουν τα οριζόμενα στο «Παράρτημα ανακοινώσεων Συμβάσεων εργασίας Ορισμένου Χρόνου (ΣΟΧ)».</w:t>
            </w:r>
          </w:p>
          <w:p w:rsidR="00583928" w:rsidRPr="00583928" w:rsidRDefault="00583928" w:rsidP="00583928">
            <w:pPr>
              <w:spacing w:after="0" w:line="240" w:lineRule="auto"/>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u w:val="single"/>
                <w:lang w:eastAsia="el-GR"/>
              </w:rPr>
              <w:t>ΚΕΦΑΛΑΙΟ ΠΡΩΤΟ: Δημοσίευση της ανακοίνωσης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Περίληψη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 Αττικής, εφόσον εκδίδονται. Σε περίπτωση που εκδίδεται μία εφημερίδα (ημερήσια ή εβδομαδιαία) η δημοσίευση θα γίνει στην εφημερίδα αυτή δύο (2) φορές.</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Ανάρτηση ολόκληρης της ανακοίνωσης [μαζί με το «Παράρτημα ανακοινώσεων Συμβάσεων εργασίας Ορισμένου Χρόνου (ΣΟΧ)» με σήμανση έκδοσης «30.03.2017»] να γίνει να γίνει στο χώρο ανακοινώσεων του δημοτικού καταστήματος του Δήμου Χαλανδρίου, όπου εδρεύει η υπηρεσία. Θα συνταχθεί και σχετικό πρακτικό ανάρτησης στο φορέα (σύμφωνα με το άρθρο 21 παρ. 9 του Ν. 2190/1994 όπως ισχύει), το οποίο θα αποσταλεί </w:t>
            </w:r>
            <w:r w:rsidRPr="00583928">
              <w:rPr>
                <w:rFonts w:ascii="inherit" w:eastAsia="Times New Roman" w:hAnsi="inherit" w:cs="Arial"/>
                <w:b/>
                <w:bCs/>
                <w:color w:val="5F5E5C"/>
                <w:sz w:val="20"/>
                <w:u w:val="single"/>
                <w:lang w:eastAsia="el-GR"/>
              </w:rPr>
              <w:t>αυθημερόν</w:t>
            </w:r>
            <w:r w:rsidRPr="00583928">
              <w:rPr>
                <w:rFonts w:ascii="inherit" w:eastAsia="Times New Roman" w:hAnsi="inherit" w:cs="Arial"/>
                <w:b/>
                <w:bCs/>
                <w:color w:val="5F5E5C"/>
                <w:sz w:val="20"/>
                <w:lang w:eastAsia="el-GR"/>
              </w:rPr>
              <w:t> στο ΑΣΕΠ είτε στο e-</w:t>
            </w:r>
            <w:proofErr w:type="spellStart"/>
            <w:r w:rsidRPr="00583928">
              <w:rPr>
                <w:rFonts w:ascii="inherit" w:eastAsia="Times New Roman" w:hAnsi="inherit" w:cs="Arial"/>
                <w:b/>
                <w:bCs/>
                <w:color w:val="5F5E5C"/>
                <w:sz w:val="20"/>
                <w:lang w:eastAsia="el-GR"/>
              </w:rPr>
              <w:t>mail</w:t>
            </w:r>
            <w:proofErr w:type="spellEnd"/>
            <w:r w:rsidRPr="00583928">
              <w:rPr>
                <w:rFonts w:ascii="inherit" w:eastAsia="Times New Roman" w:hAnsi="inherit" w:cs="Arial"/>
                <w:b/>
                <w:bCs/>
                <w:color w:val="5F5E5C"/>
                <w:sz w:val="20"/>
                <w:lang w:eastAsia="el-GR"/>
              </w:rPr>
              <w:t>: </w:t>
            </w:r>
            <w:proofErr w:type="spellStart"/>
            <w:r w:rsidRPr="00583928">
              <w:rPr>
                <w:rFonts w:ascii="inherit" w:eastAsia="Times New Roman" w:hAnsi="inherit" w:cs="Arial"/>
                <w:b/>
                <w:bCs/>
                <w:color w:val="5F5E5C"/>
                <w:sz w:val="20"/>
                <w:lang w:eastAsia="el-GR"/>
              </w:rPr>
              <w:t>sox</w:t>
            </w:r>
            <w:proofErr w:type="spellEnd"/>
            <w:r w:rsidRPr="00583928">
              <w:rPr>
                <w:rFonts w:ascii="inherit" w:eastAsia="Times New Roman" w:hAnsi="inherit" w:cs="Arial"/>
                <w:b/>
                <w:bCs/>
                <w:color w:val="5F5E5C"/>
                <w:sz w:val="20"/>
                <w:lang w:eastAsia="el-GR"/>
              </w:rPr>
              <w:t xml:space="preserve"> @</w:t>
            </w:r>
            <w:proofErr w:type="spellStart"/>
            <w:r w:rsidRPr="00583928">
              <w:rPr>
                <w:rFonts w:ascii="inherit" w:eastAsia="Times New Roman" w:hAnsi="inherit" w:cs="Arial"/>
                <w:b/>
                <w:bCs/>
                <w:color w:val="5F5E5C"/>
                <w:sz w:val="20"/>
                <w:lang w:eastAsia="el-GR"/>
              </w:rPr>
              <w:t>asep.gr</w:t>
            </w:r>
            <w:proofErr w:type="spellEnd"/>
            <w:r w:rsidRPr="00583928">
              <w:rPr>
                <w:rFonts w:ascii="inherit" w:eastAsia="Times New Roman" w:hAnsi="inherit" w:cs="Arial"/>
                <w:b/>
                <w:bCs/>
                <w:color w:val="5F5E5C"/>
                <w:sz w:val="20"/>
                <w:lang w:eastAsia="el-GR"/>
              </w:rPr>
              <w:t xml:space="preserve"> είτε στο </w:t>
            </w:r>
            <w:proofErr w:type="spellStart"/>
            <w:r w:rsidRPr="00583928">
              <w:rPr>
                <w:rFonts w:ascii="inherit" w:eastAsia="Times New Roman" w:hAnsi="inherit" w:cs="Arial"/>
                <w:b/>
                <w:bCs/>
                <w:color w:val="5F5E5C"/>
                <w:sz w:val="20"/>
                <w:lang w:eastAsia="el-GR"/>
              </w:rPr>
              <w:t>fax</w:t>
            </w:r>
            <w:proofErr w:type="spellEnd"/>
            <w:r w:rsidRPr="00583928">
              <w:rPr>
                <w:rFonts w:ascii="inherit" w:eastAsia="Times New Roman" w:hAnsi="inherit" w:cs="Arial"/>
                <w:b/>
                <w:bCs/>
                <w:color w:val="5F5E5C"/>
                <w:sz w:val="20"/>
                <w:lang w:eastAsia="el-GR"/>
              </w:rPr>
              <w:t>: 210 6467728 ή 213 1319188.</w:t>
            </w:r>
          </w:p>
          <w:p w:rsidR="00583928" w:rsidRPr="00583928" w:rsidRDefault="00583928" w:rsidP="00583928">
            <w:pPr>
              <w:spacing w:after="0" w:line="240" w:lineRule="auto"/>
              <w:jc w:val="both"/>
              <w:textAlignment w:val="baseline"/>
              <w:outlineLvl w:val="0"/>
              <w:rPr>
                <w:rFonts w:ascii="inherit" w:eastAsia="Times New Roman" w:hAnsi="inherit" w:cs="Arial"/>
                <w:b/>
                <w:bCs/>
                <w:color w:val="606060"/>
                <w:kern w:val="36"/>
                <w:sz w:val="27"/>
                <w:szCs w:val="27"/>
                <w:lang w:eastAsia="el-GR"/>
              </w:rPr>
            </w:pPr>
            <w:r w:rsidRPr="00583928">
              <w:rPr>
                <w:rFonts w:ascii="inherit" w:eastAsia="Times New Roman" w:hAnsi="inherit" w:cs="Arial"/>
                <w:b/>
                <w:bCs/>
                <w:color w:val="606060"/>
                <w:kern w:val="36"/>
                <w:sz w:val="27"/>
                <w:lang w:eastAsia="el-GR"/>
              </w:rPr>
              <w:t> </w:t>
            </w:r>
          </w:p>
          <w:p w:rsidR="00583928" w:rsidRPr="00583928" w:rsidRDefault="00583928" w:rsidP="00583928">
            <w:pPr>
              <w:spacing w:after="0" w:line="240" w:lineRule="auto"/>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color w:val="5F5E5C"/>
                <w:sz w:val="20"/>
                <w:szCs w:val="20"/>
                <w:lang w:eastAsia="el-GR"/>
              </w:rPr>
              <w:t> </w:t>
            </w:r>
          </w:p>
          <w:p w:rsidR="00583928" w:rsidRPr="00583928" w:rsidRDefault="00583928" w:rsidP="00583928">
            <w:pPr>
              <w:spacing w:after="0" w:line="240" w:lineRule="auto"/>
              <w:jc w:val="both"/>
              <w:textAlignment w:val="baseline"/>
              <w:outlineLvl w:val="0"/>
              <w:rPr>
                <w:rFonts w:ascii="inherit" w:eastAsia="Times New Roman" w:hAnsi="inherit" w:cs="Arial"/>
                <w:b/>
                <w:bCs/>
                <w:color w:val="606060"/>
                <w:kern w:val="36"/>
                <w:sz w:val="27"/>
                <w:szCs w:val="27"/>
                <w:lang w:eastAsia="el-GR"/>
              </w:rPr>
            </w:pPr>
            <w:r w:rsidRPr="00583928">
              <w:rPr>
                <w:rFonts w:ascii="inherit" w:eastAsia="Times New Roman" w:hAnsi="inherit" w:cs="Arial"/>
                <w:b/>
                <w:bCs/>
                <w:color w:val="606060"/>
                <w:kern w:val="36"/>
                <w:sz w:val="27"/>
                <w:lang w:eastAsia="el-GR"/>
              </w:rPr>
              <w:t>ΚΕΦΑΛΑΙΟ ΔΕΥΤΕΡΟ: Υποβολή αιτήσεων συμμετοχής</w:t>
            </w:r>
          </w:p>
          <w:p w:rsidR="00583928" w:rsidRPr="00583928" w:rsidRDefault="00583928" w:rsidP="00583928">
            <w:pPr>
              <w:spacing w:after="0" w:line="240" w:lineRule="auto"/>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Οι ενδιαφερόμενοι καλούνται να συμπληρώσουν την αίτηση με κωδικό </w:t>
            </w:r>
            <w:proofErr w:type="spellStart"/>
            <w:r w:rsidRPr="00583928">
              <w:rPr>
                <w:rFonts w:ascii="inherit" w:eastAsia="Times New Roman" w:hAnsi="inherit" w:cs="Arial"/>
                <w:b/>
                <w:bCs/>
                <w:color w:val="5F5E5C"/>
                <w:sz w:val="20"/>
                <w:lang w:eastAsia="el-GR"/>
              </w:rPr>
              <w:t>εντυπο</w:t>
            </w:r>
            <w:proofErr w:type="spellEnd"/>
            <w:r w:rsidRPr="00583928">
              <w:rPr>
                <w:rFonts w:ascii="inherit" w:eastAsia="Times New Roman" w:hAnsi="inherit" w:cs="Arial"/>
                <w:b/>
                <w:bCs/>
                <w:color w:val="5F5E5C"/>
                <w:sz w:val="20"/>
                <w:lang w:eastAsia="el-GR"/>
              </w:rPr>
              <w:t xml:space="preserve"> </w:t>
            </w:r>
            <w:proofErr w:type="spellStart"/>
            <w:r w:rsidRPr="00583928">
              <w:rPr>
                <w:rFonts w:ascii="inherit" w:eastAsia="Times New Roman" w:hAnsi="inherit" w:cs="Arial"/>
                <w:b/>
                <w:bCs/>
                <w:color w:val="5F5E5C"/>
                <w:sz w:val="20"/>
                <w:lang w:eastAsia="el-GR"/>
              </w:rPr>
              <w:t>ασεπ</w:t>
            </w:r>
            <w:proofErr w:type="spellEnd"/>
            <w:r w:rsidRPr="00583928">
              <w:rPr>
                <w:rFonts w:ascii="inherit" w:eastAsia="Times New Roman" w:hAnsi="inherit" w:cs="Arial"/>
                <w:b/>
                <w:bCs/>
                <w:color w:val="5F5E5C"/>
                <w:sz w:val="20"/>
                <w:lang w:eastAsia="el-GR"/>
              </w:rPr>
              <w:t xml:space="preserve"> ΣΟΧ.6 και να την υποβάλουν, είτε αυτοπροσώπως, είτε με άλλο εξουσιοδοτημένο από αυτούς πρόσωπο, εφόσον η εξουσιοδότηση φέρει την υπογραφή τους θεωρημένη από δημόσια αρχή, είτε ταχυδρομικά με συστημένη επιστολή, στα γραφεία της υπηρεσίας μας στην ακόλουθη διεύθυνση: Δήμος Χαλανδρίου, Αγίου Γεωργίου 30, Τ.Κ. 15234, Χαλάνδρι, απευθύνοντάς την στη Δ/</w:t>
            </w:r>
            <w:proofErr w:type="spellStart"/>
            <w:r w:rsidRPr="00583928">
              <w:rPr>
                <w:rFonts w:ascii="inherit" w:eastAsia="Times New Roman" w:hAnsi="inherit" w:cs="Arial"/>
                <w:b/>
                <w:bCs/>
                <w:color w:val="5F5E5C"/>
                <w:sz w:val="20"/>
                <w:lang w:eastAsia="el-GR"/>
              </w:rPr>
              <w:t>νση</w:t>
            </w:r>
            <w:proofErr w:type="spellEnd"/>
            <w:r w:rsidRPr="00583928">
              <w:rPr>
                <w:rFonts w:ascii="inherit" w:eastAsia="Times New Roman" w:hAnsi="inherit" w:cs="Arial"/>
                <w:b/>
                <w:bCs/>
                <w:color w:val="5F5E5C"/>
                <w:sz w:val="20"/>
                <w:lang w:eastAsia="el-GR"/>
              </w:rPr>
              <w:t xml:space="preserve"> Διοικητικών Υπηρεσιών και Ανάπτυξης Ανθρώπινου Δυναμικού, Τμήμα Ιδιωτικού Δικαίου Προσωπικού, υπόψη </w:t>
            </w:r>
            <w:proofErr w:type="spellStart"/>
            <w:r w:rsidRPr="00583928">
              <w:rPr>
                <w:rFonts w:ascii="inherit" w:eastAsia="Times New Roman" w:hAnsi="inherit" w:cs="Arial"/>
                <w:b/>
                <w:bCs/>
                <w:color w:val="5F5E5C"/>
                <w:sz w:val="20"/>
                <w:lang w:eastAsia="el-GR"/>
              </w:rPr>
              <w:t>κας</w:t>
            </w:r>
            <w:proofErr w:type="spellEnd"/>
            <w:r w:rsidRPr="00583928">
              <w:rPr>
                <w:rFonts w:ascii="inherit" w:eastAsia="Times New Roman" w:hAnsi="inherit" w:cs="Arial"/>
                <w:b/>
                <w:bCs/>
                <w:color w:val="5F5E5C"/>
                <w:sz w:val="20"/>
                <w:lang w:eastAsia="el-GR"/>
              </w:rPr>
              <w:t xml:space="preserve"> Ε. </w:t>
            </w:r>
            <w:proofErr w:type="spellStart"/>
            <w:r w:rsidRPr="00583928">
              <w:rPr>
                <w:rFonts w:ascii="inherit" w:eastAsia="Times New Roman" w:hAnsi="inherit" w:cs="Arial"/>
                <w:b/>
                <w:bCs/>
                <w:color w:val="5F5E5C"/>
                <w:sz w:val="20"/>
                <w:lang w:eastAsia="el-GR"/>
              </w:rPr>
              <w:t>Κορομάντζου</w:t>
            </w:r>
            <w:proofErr w:type="spellEnd"/>
            <w:r w:rsidRPr="00583928">
              <w:rPr>
                <w:rFonts w:ascii="inherit" w:eastAsia="Times New Roman" w:hAnsi="inherit" w:cs="Arial"/>
                <w:b/>
                <w:bCs/>
                <w:color w:val="5F5E5C"/>
                <w:sz w:val="20"/>
                <w:lang w:eastAsia="el-GR"/>
              </w:rPr>
              <w:t xml:space="preserve"> (</w:t>
            </w:r>
            <w:proofErr w:type="spellStart"/>
            <w:r w:rsidRPr="00583928">
              <w:rPr>
                <w:rFonts w:ascii="inherit" w:eastAsia="Times New Roman" w:hAnsi="inherit" w:cs="Arial"/>
                <w:b/>
                <w:bCs/>
                <w:color w:val="5F5E5C"/>
                <w:sz w:val="20"/>
                <w:lang w:eastAsia="el-GR"/>
              </w:rPr>
              <w:t>τηλ</w:t>
            </w:r>
            <w:proofErr w:type="spellEnd"/>
            <w:r w:rsidRPr="00583928">
              <w:rPr>
                <w:rFonts w:ascii="inherit" w:eastAsia="Times New Roman" w:hAnsi="inherit" w:cs="Arial"/>
                <w:b/>
                <w:bCs/>
                <w:color w:val="5F5E5C"/>
                <w:sz w:val="20"/>
                <w:lang w:eastAsia="el-GR"/>
              </w:rPr>
              <w:t>. επικοινωνίας: 2132023865, 862, 870).</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Η προθεσμία υποβολής των αιτήσεων είναι δέκα (10) ημέρες (υπολογιζόμενες ημερολογιακά) και αρχίζει από την επόμενη ημέρα της τελευταίας δημοσίευσης της παρούσας σε τοπικές εφημερίδες ή της ανάρτησής της στο χώρο ανακοινώσεων του δημοτικού καταστήματος του Δήμου Χαλανδρίου,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Οι υποψήφιοι μπορούν να αναζητήσουν τα έντυπα των αιτήσεων: α) στην υπηρεσία μας στην ανωτέρω διεύθυνση· β) στο δικτυακό τόπο του ΑΣΕΠ (</w:t>
            </w:r>
            <w:proofErr w:type="spellStart"/>
            <w:r w:rsidRPr="00583928">
              <w:rPr>
                <w:rFonts w:ascii="inherit" w:eastAsia="Times New Roman" w:hAnsi="inherit" w:cs="Arial"/>
                <w:b/>
                <w:bCs/>
                <w:color w:val="5F5E5C"/>
                <w:sz w:val="20"/>
                <w:lang w:eastAsia="el-GR"/>
              </w:rPr>
              <w:t>www.asep.gr</w:t>
            </w:r>
            <w:proofErr w:type="spellEnd"/>
            <w:r w:rsidRPr="00583928">
              <w:rPr>
                <w:rFonts w:ascii="inherit" w:eastAsia="Times New Roman" w:hAnsi="inherit" w:cs="Arial"/>
                <w:b/>
                <w:bCs/>
                <w:color w:val="5F5E5C"/>
                <w:sz w:val="20"/>
                <w:lang w:eastAsia="el-GR"/>
              </w:rPr>
              <w:t>) και συγκεκριμένα ακολουθώντας από την κεντρική σελίδα τη διαδρομή: Πολίτες à Έντυπα – Διαδικασίες </w:t>
            </w:r>
            <w:proofErr w:type="spellStart"/>
            <w:r w:rsidRPr="00583928">
              <w:rPr>
                <w:rFonts w:ascii="inherit" w:eastAsia="Times New Roman" w:hAnsi="inherit" w:cs="Arial"/>
                <w:b/>
                <w:bCs/>
                <w:color w:val="5F5E5C"/>
                <w:sz w:val="20"/>
                <w:lang w:eastAsia="el-GR"/>
              </w:rPr>
              <w:t>àΔιαγωνισμών</w:t>
            </w:r>
            <w:proofErr w:type="spellEnd"/>
            <w:r w:rsidRPr="00583928">
              <w:rPr>
                <w:rFonts w:ascii="inherit" w:eastAsia="Times New Roman" w:hAnsi="inherit" w:cs="Arial"/>
                <w:b/>
                <w:bCs/>
                <w:color w:val="5F5E5C"/>
                <w:sz w:val="20"/>
                <w:lang w:eastAsia="el-GR"/>
              </w:rPr>
              <w:t xml:space="preserve"> Φορέων </w:t>
            </w:r>
            <w:proofErr w:type="spellStart"/>
            <w:r w:rsidRPr="00583928">
              <w:rPr>
                <w:rFonts w:ascii="inherit" w:eastAsia="Times New Roman" w:hAnsi="inherit" w:cs="Arial"/>
                <w:b/>
                <w:bCs/>
                <w:color w:val="5F5E5C"/>
                <w:sz w:val="20"/>
                <w:lang w:eastAsia="el-GR"/>
              </w:rPr>
              <w:t>àΟρ</w:t>
            </w:r>
            <w:proofErr w:type="spellEnd"/>
            <w:r w:rsidRPr="00583928">
              <w:rPr>
                <w:rFonts w:ascii="inherit" w:eastAsia="Times New Roman" w:hAnsi="inherit" w:cs="Arial"/>
                <w:b/>
                <w:bCs/>
                <w:color w:val="5F5E5C"/>
                <w:sz w:val="20"/>
                <w:lang w:eastAsia="el-GR"/>
              </w:rPr>
              <w:t>. Χρόνου ΣΟΧ · γ) στα κατά τόπους Κέντρα Εξυπηρέτησης Πολιτών (ΚΕΠ) αλλά και στην ηλεκτρονική τους διεύθυνση (</w:t>
            </w:r>
            <w:proofErr w:type="spellStart"/>
            <w:r w:rsidRPr="00583928">
              <w:rPr>
                <w:rFonts w:ascii="inherit" w:eastAsia="Times New Roman" w:hAnsi="inherit" w:cs="Arial"/>
                <w:b/>
                <w:bCs/>
                <w:color w:val="5F5E5C"/>
                <w:sz w:val="20"/>
                <w:lang w:eastAsia="el-GR"/>
              </w:rPr>
              <w:t>www.kep.gov.gr</w:t>
            </w:r>
            <w:proofErr w:type="spellEnd"/>
            <w:r w:rsidRPr="00583928">
              <w:rPr>
                <w:rFonts w:ascii="inherit" w:eastAsia="Times New Roman" w:hAnsi="inherit" w:cs="Arial"/>
                <w:b/>
                <w:bCs/>
                <w:color w:val="5F5E5C"/>
                <w:sz w:val="20"/>
                <w:lang w:eastAsia="el-GR"/>
              </w:rPr>
              <w:t>), απ' όπου μέσω της διαδρομής: Σύνδεσμοι à Ανεξάρτητες και άλλες αρχές à ΑΣΕΠ θα οδηγηθούν στην κεντρική σελίδα του δικτυακού τόπου του ΑΣΕΠ και από εκεί θα έχουν πρόσβαση στα έντυπα μέσω της διαδρομής: Πολίτες à Έντυπα – Διαδικασίες </w:t>
            </w:r>
            <w:proofErr w:type="spellStart"/>
            <w:r w:rsidRPr="00583928">
              <w:rPr>
                <w:rFonts w:ascii="inherit" w:eastAsia="Times New Roman" w:hAnsi="inherit" w:cs="Arial"/>
                <w:b/>
                <w:bCs/>
                <w:color w:val="5F5E5C"/>
                <w:sz w:val="20"/>
                <w:lang w:eastAsia="el-GR"/>
              </w:rPr>
              <w:t>àΔιαγωνισμών</w:t>
            </w:r>
            <w:proofErr w:type="spellEnd"/>
            <w:r w:rsidRPr="00583928">
              <w:rPr>
                <w:rFonts w:ascii="inherit" w:eastAsia="Times New Roman" w:hAnsi="inherit" w:cs="Arial"/>
                <w:b/>
                <w:bCs/>
                <w:color w:val="5F5E5C"/>
                <w:sz w:val="20"/>
                <w:lang w:eastAsia="el-GR"/>
              </w:rPr>
              <w:t xml:space="preserve"> Φορέων </w:t>
            </w:r>
            <w:proofErr w:type="spellStart"/>
            <w:r w:rsidRPr="00583928">
              <w:rPr>
                <w:rFonts w:ascii="inherit" w:eastAsia="Times New Roman" w:hAnsi="inherit" w:cs="Arial"/>
                <w:b/>
                <w:bCs/>
                <w:color w:val="5F5E5C"/>
                <w:sz w:val="20"/>
                <w:lang w:eastAsia="el-GR"/>
              </w:rPr>
              <w:t>àΟρ</w:t>
            </w:r>
            <w:proofErr w:type="spellEnd"/>
            <w:r w:rsidRPr="00583928">
              <w:rPr>
                <w:rFonts w:ascii="inherit" w:eastAsia="Times New Roman" w:hAnsi="inherit" w:cs="Arial"/>
                <w:b/>
                <w:bCs/>
                <w:color w:val="5F5E5C"/>
                <w:sz w:val="20"/>
                <w:lang w:eastAsia="el-GR"/>
              </w:rPr>
              <w:t>. Χρόνου ΣΟΧ.</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u w:val="single"/>
                <w:lang w:eastAsia="el-GR"/>
              </w:rPr>
              <w:t>ΚΕΦΑΛΑΙΟ ΤΡΙΤΟ:  Κατάταξη υποψηφίων</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proofErr w:type="spellStart"/>
            <w:r w:rsidRPr="00583928">
              <w:rPr>
                <w:rFonts w:ascii="inherit" w:eastAsia="Times New Roman" w:hAnsi="inherit" w:cs="Arial"/>
                <w:b/>
                <w:bCs/>
                <w:color w:val="5F5E5C"/>
                <w:sz w:val="20"/>
                <w:lang w:eastAsia="el-GR"/>
              </w:rPr>
              <w:t>κατάταξητων</w:t>
            </w:r>
            <w:proofErr w:type="spellEnd"/>
            <w:r w:rsidRPr="00583928">
              <w:rPr>
                <w:rFonts w:ascii="inherit" w:eastAsia="Times New Roman" w:hAnsi="inherit" w:cs="Arial"/>
                <w:b/>
                <w:bCs/>
                <w:color w:val="5F5E5C"/>
                <w:sz w:val="20"/>
                <w:lang w:eastAsia="el-GR"/>
              </w:rPr>
              <w:t xml:space="preserve"> υποψηφίων, βάσει της οποίας θα γίνει η τελική επιλογή για την πρόσληψη με σύμβαση εργασίας ορισμένου χρόνου, πραγματοποιείται ως εξής:</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1. Προηγούνται στην κατάταξη οι υποψήφιοι που διαθέτουν τα κύρια προσόντα της ειδικότητας και ακολουθούν οι έχοντες τα επικουρικά </w:t>
            </w:r>
            <w:r w:rsidRPr="00583928">
              <w:rPr>
                <w:rFonts w:ascii="inherit" w:eastAsia="Times New Roman" w:hAnsi="inherit" w:cs="Arial"/>
                <w:b/>
                <w:bCs/>
                <w:i/>
                <w:iCs/>
                <w:color w:val="5F5E5C"/>
                <w:sz w:val="20"/>
                <w:lang w:eastAsia="el-GR"/>
              </w:rPr>
              <w:t xml:space="preserve">(Α΄, Β΄ επικουρίας </w:t>
            </w:r>
            <w:proofErr w:type="spellStart"/>
            <w:r w:rsidRPr="00583928">
              <w:rPr>
                <w:rFonts w:ascii="inherit" w:eastAsia="Times New Roman" w:hAnsi="inherit" w:cs="Arial"/>
                <w:b/>
                <w:bCs/>
                <w:i/>
                <w:iCs/>
                <w:color w:val="5F5E5C"/>
                <w:sz w:val="20"/>
                <w:lang w:eastAsia="el-GR"/>
              </w:rPr>
              <w:t>κ.ο.κ</w:t>
            </w:r>
            <w:proofErr w:type="spellEnd"/>
            <w:r w:rsidRPr="00583928">
              <w:rPr>
                <w:rFonts w:ascii="inherit" w:eastAsia="Times New Roman" w:hAnsi="inherit" w:cs="Arial"/>
                <w:b/>
                <w:bCs/>
                <w:i/>
                <w:iCs/>
                <w:color w:val="5F5E5C"/>
                <w:sz w:val="20"/>
                <w:lang w:eastAsia="el-GR"/>
              </w:rPr>
              <w:t>.)</w:t>
            </w:r>
            <w:r w:rsidRPr="00583928">
              <w:rPr>
                <w:rFonts w:ascii="inherit" w:eastAsia="Times New Roman" w:hAnsi="inherit" w:cs="Arial"/>
                <w:b/>
                <w:bCs/>
                <w:color w:val="5F5E5C"/>
                <w:sz w:val="20"/>
                <w:lang w:eastAsia="el-GR"/>
              </w:rPr>
              <w:t>.</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2. Η κατάταξη μεταξύ των υποψηφίων που έχουν τα ίδια προσόντα </w:t>
            </w:r>
            <w:r w:rsidRPr="00583928">
              <w:rPr>
                <w:rFonts w:ascii="inherit" w:eastAsia="Times New Roman" w:hAnsi="inherit" w:cs="Arial"/>
                <w:b/>
                <w:bCs/>
                <w:i/>
                <w:iCs/>
                <w:color w:val="5F5E5C"/>
                <w:sz w:val="20"/>
                <w:lang w:eastAsia="el-GR"/>
              </w:rPr>
              <w:t>(κύρια ή επικουρικά)</w:t>
            </w:r>
            <w:r w:rsidRPr="00583928">
              <w:rPr>
                <w:rFonts w:ascii="inherit" w:eastAsia="Times New Roman" w:hAnsi="inherit" w:cs="Arial"/>
                <w:b/>
                <w:bCs/>
                <w:color w:val="5F5E5C"/>
                <w:sz w:val="20"/>
                <w:lang w:eastAsia="el-GR"/>
              </w:rPr>
              <w:t xml:space="preserve"> γίνεται κατά φθίνουσα σειρά με βάση τη συνολική βαθμολογία που συγκεντρώνουν από τα </w:t>
            </w:r>
            <w:r w:rsidRPr="00583928">
              <w:rPr>
                <w:rFonts w:ascii="inherit" w:eastAsia="Times New Roman" w:hAnsi="inherit" w:cs="Arial"/>
                <w:b/>
                <w:bCs/>
                <w:color w:val="5F5E5C"/>
                <w:sz w:val="20"/>
                <w:lang w:eastAsia="el-GR"/>
              </w:rPr>
              <w:lastRenderedPageBreak/>
              <w:t>βαθμολογούμενα κριτήρια κατάταξης </w:t>
            </w:r>
            <w:r w:rsidRPr="00583928">
              <w:rPr>
                <w:rFonts w:ascii="inherit" w:eastAsia="Times New Roman" w:hAnsi="inherit" w:cs="Arial"/>
                <w:b/>
                <w:bCs/>
                <w:i/>
                <w:iCs/>
                <w:color w:val="5F5E5C"/>
                <w:sz w:val="20"/>
                <w:lang w:eastAsia="el-GR"/>
              </w:rPr>
              <w:t xml:space="preserve">(χρόνος ανεργίας, </w:t>
            </w:r>
            <w:proofErr w:type="spellStart"/>
            <w:r w:rsidRPr="00583928">
              <w:rPr>
                <w:rFonts w:ascii="inherit" w:eastAsia="Times New Roman" w:hAnsi="inherit" w:cs="Arial"/>
                <w:b/>
                <w:bCs/>
                <w:i/>
                <w:iCs/>
                <w:color w:val="5F5E5C"/>
                <w:sz w:val="20"/>
                <w:lang w:eastAsia="el-GR"/>
              </w:rPr>
              <w:t>πολυτεκνική</w:t>
            </w:r>
            <w:proofErr w:type="spellEnd"/>
            <w:r w:rsidRPr="00583928">
              <w:rPr>
                <w:rFonts w:ascii="inherit" w:eastAsia="Times New Roman" w:hAnsi="inherit" w:cs="Arial"/>
                <w:b/>
                <w:bCs/>
                <w:i/>
                <w:iCs/>
                <w:color w:val="5F5E5C"/>
                <w:sz w:val="20"/>
                <w:lang w:eastAsia="el-GR"/>
              </w:rPr>
              <w:t xml:space="preserve"> ιδιότητα, </w:t>
            </w:r>
            <w:proofErr w:type="spellStart"/>
            <w:r w:rsidRPr="00583928">
              <w:rPr>
                <w:rFonts w:ascii="inherit" w:eastAsia="Times New Roman" w:hAnsi="inherit" w:cs="Arial"/>
                <w:b/>
                <w:bCs/>
                <w:i/>
                <w:iCs/>
                <w:color w:val="5F5E5C"/>
                <w:sz w:val="20"/>
                <w:lang w:eastAsia="el-GR"/>
              </w:rPr>
              <w:t>τριτεκνική</w:t>
            </w:r>
            <w:proofErr w:type="spellEnd"/>
            <w:r w:rsidRPr="00583928">
              <w:rPr>
                <w:rFonts w:ascii="inherit" w:eastAsia="Times New Roman" w:hAnsi="inherit" w:cs="Arial"/>
                <w:b/>
                <w:bCs/>
                <w:i/>
                <w:iCs/>
                <w:color w:val="5F5E5C"/>
                <w:sz w:val="20"/>
                <w:lang w:eastAsia="el-GR"/>
              </w:rPr>
              <w:t xml:space="preserve"> ιδιότητα, αριθμός ανήλικων τέκνων, </w:t>
            </w:r>
            <w:proofErr w:type="spellStart"/>
            <w:r w:rsidRPr="00583928">
              <w:rPr>
                <w:rFonts w:ascii="inherit" w:eastAsia="Times New Roman" w:hAnsi="inherit" w:cs="Arial"/>
                <w:b/>
                <w:bCs/>
                <w:i/>
                <w:iCs/>
                <w:color w:val="5F5E5C"/>
                <w:sz w:val="20"/>
                <w:lang w:eastAsia="el-GR"/>
              </w:rPr>
              <w:t>μονογονεϊκή</w:t>
            </w:r>
            <w:proofErr w:type="spellEnd"/>
            <w:r w:rsidRPr="00583928">
              <w:rPr>
                <w:rFonts w:ascii="inherit" w:eastAsia="Times New Roman" w:hAnsi="inherit" w:cs="Arial"/>
                <w:b/>
                <w:bCs/>
                <w:i/>
                <w:iCs/>
                <w:color w:val="5F5E5C"/>
                <w:sz w:val="20"/>
                <w:lang w:eastAsia="el-GR"/>
              </w:rPr>
              <w:t xml:space="preserve"> ιδιότητα, βαθμός τίτλου σπουδών, εμπειρία, αναπηρία υποψηφίου, αναπηρία συγγενικού ατόμου)</w:t>
            </w:r>
            <w:r w:rsidRPr="00583928">
              <w:rPr>
                <w:rFonts w:ascii="inherit" w:eastAsia="Times New Roman" w:hAnsi="inherit" w:cs="Arial"/>
                <w:b/>
                <w:bCs/>
                <w:color w:val="5F5E5C"/>
                <w:sz w:val="20"/>
                <w:lang w:eastAsia="el-GR"/>
              </w:rPr>
              <w:t>.</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3. Στην περίπτωση ισοβαθμίας υποψηφίων στη συνολική βαθμολογία προηγείται αυτός που έχει τις περισσότερες μονάδες στο πρώτο βαθμολογούμενο κριτήριο </w:t>
            </w:r>
            <w:r w:rsidRPr="00583928">
              <w:rPr>
                <w:rFonts w:ascii="inherit" w:eastAsia="Times New Roman" w:hAnsi="inherit" w:cs="Arial"/>
                <w:b/>
                <w:bCs/>
                <w:i/>
                <w:iCs/>
                <w:color w:val="5F5E5C"/>
                <w:sz w:val="20"/>
                <w:lang w:eastAsia="el-GR"/>
              </w:rPr>
              <w:t>(χρόνος ανεργίας)</w:t>
            </w:r>
            <w:r w:rsidRPr="00583928">
              <w:rPr>
                <w:rFonts w:ascii="inherit" w:eastAsia="Times New Roman" w:hAnsi="inherit" w:cs="Arial"/>
                <w:b/>
                <w:bCs/>
                <w:color w:val="5F5E5C"/>
                <w:sz w:val="20"/>
                <w:lang w:eastAsia="el-GR"/>
              </w:rPr>
              <w:t> και, αν αυτές συμπίπτουν, αυτός που έχει τις περισσότερες μονάδες στο δεύτερο κριτήριο </w:t>
            </w:r>
            <w:r w:rsidRPr="00583928">
              <w:rPr>
                <w:rFonts w:ascii="inherit" w:eastAsia="Times New Roman" w:hAnsi="inherit" w:cs="Arial"/>
                <w:b/>
                <w:bCs/>
                <w:i/>
                <w:iCs/>
                <w:color w:val="5F5E5C"/>
                <w:sz w:val="20"/>
                <w:lang w:eastAsia="el-GR"/>
              </w:rPr>
              <w:t>(αριθμός τέκνων πολύτεκνης οικογένειας)</w:t>
            </w:r>
            <w:r w:rsidRPr="00583928">
              <w:rPr>
                <w:rFonts w:ascii="inherit" w:eastAsia="Times New Roman" w:hAnsi="inherit" w:cs="Arial"/>
                <w:b/>
                <w:bCs/>
                <w:color w:val="5F5E5C"/>
                <w:sz w:val="20"/>
                <w:lang w:eastAsia="el-GR"/>
              </w:rPr>
              <w:t> και ούτω καθεξής. Αν εξαντληθούν όλα τα κριτήρια, η σειρά μεταξύ των υποψηφίων καθορίζεται με δημόσια κλήρωση.</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u w:val="single"/>
                <w:lang w:eastAsia="el-GR"/>
              </w:rPr>
              <w:t>ΚΕΦΑΛΑΙΟ ΤΕΤΑΡΤΟ: Ανάρτηση πινάκων και υποβολή ενστάσεων</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Μετά την κατάρτιση των πινάκων, η υπηρεσία μας θα αναρτήσει, το αργότερο μέσα σε είκοσι (20) ημέρες από τη λήξη της προθεσμίας υποβολής των αιτήσεων συμμετοχής, τους πίνακες κατάταξης των υποψηφίων στο κατάστημα των γραφείων μας, τους οποίους πρέπει να αποστείλει </w:t>
            </w:r>
            <w:r w:rsidRPr="00583928">
              <w:rPr>
                <w:rFonts w:ascii="inherit" w:eastAsia="Times New Roman" w:hAnsi="inherit" w:cs="Arial"/>
                <w:b/>
                <w:bCs/>
                <w:color w:val="5F5E5C"/>
                <w:sz w:val="20"/>
                <w:u w:val="single"/>
                <w:lang w:eastAsia="el-GR"/>
              </w:rPr>
              <w:t>άμεσα</w:t>
            </w:r>
            <w:r w:rsidRPr="00583928">
              <w:rPr>
                <w:rFonts w:ascii="inherit" w:eastAsia="Times New Roman" w:hAnsi="inherit" w:cs="Arial"/>
                <w:b/>
                <w:bCs/>
                <w:color w:val="5F5E5C"/>
                <w:sz w:val="20"/>
                <w:lang w:eastAsia="el-GR"/>
              </w:rPr>
              <w:t> για έλεγχο στο ΑΣΕΠ, ενώ θα συνταχθεί </w:t>
            </w:r>
            <w:r w:rsidRPr="00583928">
              <w:rPr>
                <w:rFonts w:ascii="inherit" w:eastAsia="Times New Roman" w:hAnsi="inherit" w:cs="Arial"/>
                <w:b/>
                <w:bCs/>
                <w:color w:val="5F5E5C"/>
                <w:sz w:val="20"/>
                <w:u w:val="single"/>
                <w:lang w:eastAsia="el-GR"/>
              </w:rPr>
              <w:t>και</w:t>
            </w:r>
            <w:r w:rsidRPr="00583928">
              <w:rPr>
                <w:rFonts w:ascii="inherit" w:eastAsia="Times New Roman" w:hAnsi="inherit" w:cs="Arial"/>
                <w:b/>
                <w:bCs/>
                <w:color w:val="5F5E5C"/>
                <w:sz w:val="20"/>
                <w:lang w:eastAsia="el-GR"/>
              </w:rPr>
              <w:t> σχετικό πρακτικό ανάρτησης (σύμφωνα με το άρθρο 21 παρ. 11 του Ν. 2190/1994 όπως ισχύει) το οποίο θα υπογραφεί από δύο (2) υπαλλήλους της υπηρεσίας. Το πρακτικό αυτό θα αποσταλεί </w:t>
            </w:r>
            <w:r w:rsidRPr="00583928">
              <w:rPr>
                <w:rFonts w:ascii="inherit" w:eastAsia="Times New Roman" w:hAnsi="inherit" w:cs="Arial"/>
                <w:b/>
                <w:bCs/>
                <w:color w:val="5F5E5C"/>
                <w:sz w:val="20"/>
                <w:u w:val="single"/>
                <w:lang w:eastAsia="el-GR"/>
              </w:rPr>
              <w:t>αυθημερόν</w:t>
            </w:r>
            <w:r w:rsidRPr="00583928">
              <w:rPr>
                <w:rFonts w:ascii="inherit" w:eastAsia="Times New Roman" w:hAnsi="inherit" w:cs="Arial"/>
                <w:b/>
                <w:bCs/>
                <w:color w:val="5F5E5C"/>
                <w:sz w:val="20"/>
                <w:lang w:eastAsia="el-GR"/>
              </w:rPr>
              <w:t> στο ΑΣΕΠ είτε στο e-</w:t>
            </w:r>
            <w:proofErr w:type="spellStart"/>
            <w:r w:rsidRPr="00583928">
              <w:rPr>
                <w:rFonts w:ascii="inherit" w:eastAsia="Times New Roman" w:hAnsi="inherit" w:cs="Arial"/>
                <w:b/>
                <w:bCs/>
                <w:color w:val="5F5E5C"/>
                <w:sz w:val="20"/>
                <w:lang w:eastAsia="el-GR"/>
              </w:rPr>
              <w:t>mail</w:t>
            </w:r>
            <w:proofErr w:type="spellEnd"/>
            <w:r w:rsidRPr="00583928">
              <w:rPr>
                <w:rFonts w:ascii="inherit" w:eastAsia="Times New Roman" w:hAnsi="inherit" w:cs="Arial"/>
                <w:b/>
                <w:bCs/>
                <w:color w:val="5F5E5C"/>
                <w:sz w:val="20"/>
                <w:lang w:eastAsia="el-GR"/>
              </w:rPr>
              <w:t>: </w:t>
            </w:r>
            <w:proofErr w:type="spellStart"/>
            <w:r w:rsidRPr="00583928">
              <w:rPr>
                <w:rFonts w:ascii="inherit" w:eastAsia="Times New Roman" w:hAnsi="inherit" w:cs="Arial"/>
                <w:b/>
                <w:bCs/>
                <w:color w:val="5F5E5C"/>
                <w:sz w:val="20"/>
                <w:lang w:eastAsia="el-GR"/>
              </w:rPr>
              <w:t>sox@asep.gr</w:t>
            </w:r>
            <w:proofErr w:type="spellEnd"/>
            <w:r w:rsidRPr="00583928">
              <w:rPr>
                <w:rFonts w:ascii="inherit" w:eastAsia="Times New Roman" w:hAnsi="inherit" w:cs="Arial"/>
                <w:b/>
                <w:bCs/>
                <w:color w:val="5F5E5C"/>
                <w:sz w:val="20"/>
                <w:lang w:eastAsia="el-GR"/>
              </w:rPr>
              <w:t xml:space="preserve"> είτε στο </w:t>
            </w:r>
            <w:proofErr w:type="spellStart"/>
            <w:r w:rsidRPr="00583928">
              <w:rPr>
                <w:rFonts w:ascii="inherit" w:eastAsia="Times New Roman" w:hAnsi="inherit" w:cs="Arial"/>
                <w:b/>
                <w:bCs/>
                <w:color w:val="5F5E5C"/>
                <w:sz w:val="20"/>
                <w:lang w:eastAsia="el-GR"/>
              </w:rPr>
              <w:t>fax</w:t>
            </w:r>
            <w:proofErr w:type="spellEnd"/>
            <w:r w:rsidRPr="00583928">
              <w:rPr>
                <w:rFonts w:ascii="inherit" w:eastAsia="Times New Roman" w:hAnsi="inherit" w:cs="Arial"/>
                <w:b/>
                <w:bCs/>
                <w:color w:val="5F5E5C"/>
                <w:sz w:val="20"/>
                <w:lang w:eastAsia="el-GR"/>
              </w:rPr>
              <w:t>: 210 6467728 ή 213 1319188.</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Κατά των πινάκων αυτών επιτρέπεται στους ενδιαφερόμενους η άσκηση ένστασης μέσα σε αποκλειστική προθεσμία δέκα (10) ημερών (υπολογιζόμενες ημερολογιακά) η οποία αρχίζει από την επόμενη ημέρα της ανάρτησής τους. Η ένσταση κατατίθεται ή αποστέλλεται με συστημένη επιστολή απευθείας στο  ΑΣΕΠ (</w:t>
            </w:r>
            <w:proofErr w:type="spellStart"/>
            <w:r w:rsidRPr="00583928">
              <w:rPr>
                <w:rFonts w:ascii="inherit" w:eastAsia="Times New Roman" w:hAnsi="inherit" w:cs="Arial"/>
                <w:b/>
                <w:bCs/>
                <w:color w:val="5F5E5C"/>
                <w:sz w:val="20"/>
                <w:lang w:eastAsia="el-GR"/>
              </w:rPr>
              <w:t>Πουλίου</w:t>
            </w:r>
            <w:proofErr w:type="spellEnd"/>
            <w:r w:rsidRPr="00583928">
              <w:rPr>
                <w:rFonts w:ascii="inherit" w:eastAsia="Times New Roman" w:hAnsi="inherit" w:cs="Arial"/>
                <w:b/>
                <w:bCs/>
                <w:color w:val="5F5E5C"/>
                <w:sz w:val="20"/>
                <w:lang w:eastAsia="el-GR"/>
              </w:rPr>
              <w:t xml:space="preserve"> 6, Αθήνα, Τ.Θ. 14307, Τ.Κ. 11510) και, για να εξεταστεί, πρέπει να συνοδεύεται από αποδεικτικό καταβολής παραβόλου είκοσι ευρώ (20 €) που έχει εκδοθεί είτε μέσω της εφαρμογής του ηλεκτρονικού παραβόλου (e– παράβολο), βλ. λογότυπο «ΗΛΕΚΤΡΟΝΙΚΟ ΠΑΡΑΒΟΛΟ» στο διαδικτυακό τόπο  του ΑΣΕΠ (</w:t>
            </w:r>
            <w:hyperlink r:id="rId6" w:history="1">
              <w:r w:rsidRPr="00583928">
                <w:rPr>
                  <w:rFonts w:ascii="inherit" w:eastAsia="Times New Roman" w:hAnsi="inherit" w:cs="Arial"/>
                  <w:b/>
                  <w:bCs/>
                  <w:color w:val="207DA5"/>
                  <w:sz w:val="20"/>
                  <w:lang w:eastAsia="el-GR"/>
                </w:rPr>
                <w:t>www.asep.gr</w:t>
              </w:r>
            </w:hyperlink>
            <w:r w:rsidRPr="00583928">
              <w:rPr>
                <w:rFonts w:ascii="inherit" w:eastAsia="Times New Roman" w:hAnsi="inherit" w:cs="Arial"/>
                <w:b/>
                <w:bCs/>
                <w:color w:val="5F5E5C"/>
                <w:sz w:val="20"/>
                <w:lang w:eastAsia="el-GR"/>
              </w:rPr>
              <w:t>), είτε από Δημόσια Οικονομική Υπηρεσία (Δ.Ο.Υ.). </w:t>
            </w:r>
            <w:r w:rsidRPr="00583928">
              <w:rPr>
                <w:rFonts w:ascii="inherit" w:eastAsia="Times New Roman" w:hAnsi="inherit" w:cs="Arial"/>
                <w:b/>
                <w:bCs/>
                <w:color w:val="5F5E5C"/>
                <w:sz w:val="20"/>
                <w:u w:val="single"/>
                <w:lang w:eastAsia="el-GR"/>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583928">
              <w:rPr>
                <w:rFonts w:ascii="inherit" w:eastAsia="Times New Roman" w:hAnsi="inherit" w:cs="Arial"/>
                <w:b/>
                <w:bCs/>
                <w:color w:val="5F5E5C"/>
                <w:sz w:val="20"/>
                <w:lang w:eastAsia="el-GR"/>
              </w:rPr>
              <w:t> Σε περίπτωση που η υποβληθείσα ένσταση γίνει δεκτή, το καταβληθέν ποσό επιστρέφεται στον ενιστάμενο.</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Η υπηρεσία οφείλει να αποστείλει στο ΑΣΕΠ εντός τριών (3) εργάσιμων ημερών φωτοαντίγραφα των αιτήσεων και των δικαιολογητικών των υποψηφίων που έχουν υποβάλει ένσταση κατά των πινάκων κατάταξης.</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u w:val="single"/>
                <w:lang w:eastAsia="el-GR"/>
              </w:rPr>
              <w:t>ΚΕΦΑΛΑΙΟ ΠΕΜΠΤΟ: Πρόσληψη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xml:space="preserve">Η υπηρεσία προσλαμβάνει το προσωπικό με σύμβαση εργασίας ιδιωτικού δικαίου ορισμένου χρόνου αμέσως μετά την κατάρτιση των πινάκων κατάταξης των υποψηφίων. Τυχόν αναμόρφωση των πινάκων βάσει αυτεπάγγελτου ή </w:t>
            </w:r>
            <w:proofErr w:type="spellStart"/>
            <w:r w:rsidRPr="00583928">
              <w:rPr>
                <w:rFonts w:ascii="inherit" w:eastAsia="Times New Roman" w:hAnsi="inherit" w:cs="Arial"/>
                <w:b/>
                <w:bCs/>
                <w:color w:val="5F5E5C"/>
                <w:sz w:val="20"/>
                <w:lang w:eastAsia="el-GR"/>
              </w:rPr>
              <w:t>κατ΄</w:t>
            </w:r>
            <w:proofErr w:type="spellEnd"/>
            <w:r w:rsidRPr="00583928">
              <w:rPr>
                <w:rFonts w:ascii="inherit" w:eastAsia="Times New Roman" w:hAnsi="inherit" w:cs="Arial"/>
                <w:b/>
                <w:bCs/>
                <w:color w:val="5F5E5C"/>
                <w:sz w:val="20"/>
                <w:lang w:eastAsia="el-GR"/>
              </w:rPr>
              <w:t xml:space="preserve"> ένσταση ελέγχου του ΑΣΕΠ που συνεπάγεται ανακατάταξη των υποψηφίων, εκτελείται υποχρεωτικά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Προσληφθέντες οι οποίοι αποχωρούν πριν από τη λήξη της σύμβασής τους, αντικαθίστανται με άλλους από τους εγγεγραμμένους και διαθέσιμους στον πίνακα της οικείας ειδικότητας, κατά τη σειρά εγγραφής τους σε αυτόν.</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Σε κάθε περίπτωση, οι υποψήφιοι που προσλαμβάνονται είτε κατόπιν αναμόρφωσης των πινάκων από το ΑΣΕΠ είτε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εργασίας ορισμένου χρόνου.</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xml:space="preserve">Υποψήφιοι που επιλέγονται για πρόσληψη, προκειμένου να ελεγχθεί, εκ νέου, το κώλυμα της οκτάμηνης απασχόλησης,  πρέπει κατά την ημέρα ανάληψης των καθηκόντων τους να υποβάλουν στο φορέα υπεύθυνη δήλωση κατά το άρθρο 8 του ν.1599/1986 στην οποία να δηλώνουν ότι από την ημερομηνία υποβολής της αίτησης συμμετοχής τους στη διαδικασία έως και την ημερομηνία πρόσληψης δεν έχουν απασχοληθεί ή έχουν απασχοληθεί (δηλώνεται το χρονικό διάστημα και ο φορέας απασχόλησης) με σύμβαση εργασίας ορισμένου χρόνου για την αντιμετώπιση εποχιακών ή άλλων περιοδικών ή πρόσκαιρων αναγκών σε φορέα του δημόσιου ή ευρύτερου δημόσιου τομέα του άρθρου 1 παρ. 1 του ν.3812/2009.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w:t>
            </w:r>
            <w:r w:rsidRPr="00583928">
              <w:rPr>
                <w:rFonts w:ascii="inherit" w:eastAsia="Times New Roman" w:hAnsi="inherit" w:cs="Arial"/>
                <w:b/>
                <w:bCs/>
                <w:color w:val="5F5E5C"/>
                <w:sz w:val="20"/>
                <w:lang w:eastAsia="el-GR"/>
              </w:rPr>
              <w:lastRenderedPageBreak/>
              <w:t>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w:t>
            </w:r>
          </w:p>
          <w:p w:rsidR="00583928" w:rsidRPr="00583928" w:rsidRDefault="00583928" w:rsidP="00583928">
            <w:pPr>
              <w:spacing w:after="0" w:line="240" w:lineRule="auto"/>
              <w:jc w:val="both"/>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u w:val="single"/>
                <w:lang w:eastAsia="el-GR"/>
              </w:rPr>
              <w:t>ΑΝΑΠΟΣΠΑΣΤΟ ΤΜΗΜΑ</w:t>
            </w:r>
            <w:r w:rsidRPr="00583928">
              <w:rPr>
                <w:rFonts w:ascii="inherit" w:eastAsia="Times New Roman" w:hAnsi="inherit" w:cs="Arial"/>
                <w:b/>
                <w:bCs/>
                <w:color w:val="5F5E5C"/>
                <w:sz w:val="20"/>
                <w:lang w:eastAsia="el-GR"/>
              </w:rPr>
              <w:t> της παρούσας ανακοίνωσης αποτελεί και το </w:t>
            </w:r>
            <w:r w:rsidRPr="00583928">
              <w:rPr>
                <w:rFonts w:ascii="inherit" w:eastAsia="Times New Roman" w:hAnsi="inherit" w:cs="Arial"/>
                <w:b/>
                <w:bCs/>
                <w:i/>
                <w:iCs/>
                <w:color w:val="5F5E5C"/>
                <w:sz w:val="20"/>
                <w:lang w:eastAsia="el-GR"/>
              </w:rPr>
              <w:t>«Παράρτημα ανακοινώσεων Συμβάσεων εργασίας Ορισμένου Χρόνου (ΣΟΧ)»</w:t>
            </w:r>
            <w:r w:rsidRPr="00583928">
              <w:rPr>
                <w:rFonts w:ascii="inherit" w:eastAsia="Times New Roman" w:hAnsi="inherit" w:cs="Arial"/>
                <w:b/>
                <w:bCs/>
                <w:color w:val="5F5E5C"/>
                <w:sz w:val="20"/>
                <w:lang w:eastAsia="el-GR"/>
              </w:rPr>
              <w:t xml:space="preserve"> με σήμανση έκδοσης «30.03.2017», το οποίο περιλαμβάνει: i) οδηγίες για τη συμπλήρωση της αίτησης – υπεύθυνης δήλωσης με κωδικό </w:t>
            </w:r>
            <w:proofErr w:type="spellStart"/>
            <w:r w:rsidRPr="00583928">
              <w:rPr>
                <w:rFonts w:ascii="inherit" w:eastAsia="Times New Roman" w:hAnsi="inherit" w:cs="Arial"/>
                <w:b/>
                <w:bCs/>
                <w:color w:val="5F5E5C"/>
                <w:sz w:val="20"/>
                <w:lang w:eastAsia="el-GR"/>
              </w:rPr>
              <w:t>εντυπο</w:t>
            </w:r>
            <w:proofErr w:type="spellEnd"/>
            <w:r w:rsidRPr="00583928">
              <w:rPr>
                <w:rFonts w:ascii="inherit" w:eastAsia="Times New Roman" w:hAnsi="inherit" w:cs="Arial"/>
                <w:b/>
                <w:bCs/>
                <w:color w:val="5F5E5C"/>
                <w:sz w:val="20"/>
                <w:lang w:eastAsia="el-GR"/>
              </w:rPr>
              <w:t> </w:t>
            </w:r>
            <w:proofErr w:type="spellStart"/>
            <w:r w:rsidRPr="00583928">
              <w:rPr>
                <w:rFonts w:ascii="inherit" w:eastAsia="Times New Roman" w:hAnsi="inherit" w:cs="Arial"/>
                <w:b/>
                <w:bCs/>
                <w:color w:val="5F5E5C"/>
                <w:sz w:val="20"/>
                <w:lang w:eastAsia="el-GR"/>
              </w:rPr>
              <w:t>ασεπ</w:t>
            </w:r>
            <w:proofErr w:type="spellEnd"/>
            <w:r w:rsidRPr="00583928">
              <w:rPr>
                <w:rFonts w:ascii="inherit" w:eastAsia="Times New Roman" w:hAnsi="inherit" w:cs="Arial"/>
                <w:b/>
                <w:bCs/>
                <w:color w:val="5F5E5C"/>
                <w:sz w:val="20"/>
                <w:lang w:eastAsia="el-GR"/>
              </w:rPr>
              <w:t> ΣΟΧ.6,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ii)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του δικτυακού τόπου του ΑΣΕΠ (</w:t>
            </w:r>
            <w:proofErr w:type="spellStart"/>
            <w:r w:rsidRPr="00583928">
              <w:rPr>
                <w:rFonts w:ascii="inherit" w:eastAsia="Times New Roman" w:hAnsi="inherit" w:cs="Arial"/>
                <w:b/>
                <w:bCs/>
                <w:color w:val="5F5E5C"/>
                <w:sz w:val="20"/>
                <w:lang w:eastAsia="el-GR"/>
              </w:rPr>
              <w:t>www.asep.gr</w:t>
            </w:r>
            <w:proofErr w:type="spellEnd"/>
            <w:r w:rsidRPr="00583928">
              <w:rPr>
                <w:rFonts w:ascii="inherit" w:eastAsia="Times New Roman" w:hAnsi="inherit" w:cs="Arial"/>
                <w:b/>
                <w:bCs/>
                <w:color w:val="5F5E5C"/>
                <w:sz w:val="20"/>
                <w:lang w:eastAsia="el-GR"/>
              </w:rPr>
              <w:t>) και συγκεκριμένα μέσω της ίδιας διαδρομής που ακολουθείται και για την αναζήτηση του εντύπου της αίτησης δηλαδή: Πολίτες à Έντυπα – Διαδικασίες </w:t>
            </w:r>
            <w:proofErr w:type="spellStart"/>
            <w:r w:rsidRPr="00583928">
              <w:rPr>
                <w:rFonts w:ascii="inherit" w:eastAsia="Times New Roman" w:hAnsi="inherit" w:cs="Arial"/>
                <w:b/>
                <w:bCs/>
                <w:color w:val="5F5E5C"/>
                <w:sz w:val="20"/>
                <w:lang w:eastAsia="el-GR"/>
              </w:rPr>
              <w:t>àΔιαγωνισμών</w:t>
            </w:r>
            <w:proofErr w:type="spellEnd"/>
            <w:r w:rsidRPr="00583928">
              <w:rPr>
                <w:rFonts w:ascii="inherit" w:eastAsia="Times New Roman" w:hAnsi="inherit" w:cs="Arial"/>
                <w:b/>
                <w:bCs/>
                <w:color w:val="5F5E5C"/>
                <w:sz w:val="20"/>
                <w:lang w:eastAsia="el-GR"/>
              </w:rPr>
              <w:t xml:space="preserve"> Φορέων </w:t>
            </w:r>
            <w:proofErr w:type="spellStart"/>
            <w:r w:rsidRPr="00583928">
              <w:rPr>
                <w:rFonts w:ascii="inherit" w:eastAsia="Times New Roman" w:hAnsi="inherit" w:cs="Arial"/>
                <w:b/>
                <w:bCs/>
                <w:color w:val="5F5E5C"/>
                <w:sz w:val="20"/>
                <w:lang w:eastAsia="el-GR"/>
              </w:rPr>
              <w:t>àΟρ</w:t>
            </w:r>
            <w:proofErr w:type="spellEnd"/>
            <w:r w:rsidRPr="00583928">
              <w:rPr>
                <w:rFonts w:ascii="inherit" w:eastAsia="Times New Roman" w:hAnsi="inherit" w:cs="Arial"/>
                <w:b/>
                <w:bCs/>
                <w:color w:val="5F5E5C"/>
                <w:sz w:val="20"/>
                <w:lang w:eastAsia="el-GR"/>
              </w:rPr>
              <w:t>. Χρόνου ΣΟΧ.</w:t>
            </w:r>
          </w:p>
          <w:p w:rsidR="00583928" w:rsidRPr="00583928" w:rsidRDefault="00583928" w:rsidP="00583928">
            <w:pPr>
              <w:spacing w:after="0" w:line="240" w:lineRule="auto"/>
              <w:rPr>
                <w:rFonts w:ascii="Arial" w:eastAsia="Times New Roman" w:hAnsi="Arial" w:cs="Arial"/>
                <w:color w:val="5F5E5C"/>
                <w:sz w:val="20"/>
                <w:szCs w:val="20"/>
                <w:lang w:eastAsia="el-GR"/>
              </w:rPr>
            </w:pPr>
            <w:r w:rsidRPr="00583928">
              <w:rPr>
                <w:rFonts w:ascii="inherit" w:eastAsia="Times New Roman" w:hAnsi="inherit" w:cs="Arial"/>
                <w:b/>
                <w:bCs/>
                <w:color w:val="5F5E5C"/>
                <w:sz w:val="20"/>
                <w:lang w:eastAsia="el-GR"/>
              </w:rPr>
              <w:t> </w:t>
            </w:r>
          </w:p>
          <w:p w:rsidR="00583928" w:rsidRPr="00583928" w:rsidRDefault="00583928" w:rsidP="00583928">
            <w:pPr>
              <w:spacing w:after="0" w:line="240" w:lineRule="auto"/>
              <w:jc w:val="center"/>
              <w:textAlignment w:val="baseline"/>
              <w:rPr>
                <w:rFonts w:ascii="inherit" w:eastAsia="Times New Roman" w:hAnsi="inherit" w:cs="Arial"/>
                <w:color w:val="5F5E5C"/>
                <w:sz w:val="20"/>
                <w:szCs w:val="20"/>
                <w:lang w:eastAsia="el-GR"/>
              </w:rPr>
            </w:pPr>
            <w:r w:rsidRPr="00583928">
              <w:rPr>
                <w:rFonts w:ascii="inherit" w:eastAsia="Times New Roman" w:hAnsi="inherit" w:cs="Arial"/>
                <w:b/>
                <w:bCs/>
                <w:color w:val="5F5E5C"/>
                <w:sz w:val="20"/>
                <w:lang w:eastAsia="el-GR"/>
              </w:rPr>
              <w:t>Ο ΔΗΜΑΡΧΟΣ ΧΑΛΑΝΔΡΙΟΥ</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 </w:t>
            </w:r>
            <w:r w:rsidRPr="00583928">
              <w:rPr>
                <w:rFonts w:ascii="inherit" w:eastAsia="Times New Roman" w:hAnsi="inherit" w:cs="Arial"/>
                <w:b/>
                <w:bCs/>
                <w:color w:val="5F5E5C"/>
                <w:sz w:val="20"/>
                <w:szCs w:val="20"/>
                <w:bdr w:val="none" w:sz="0" w:space="0" w:color="auto" w:frame="1"/>
                <w:lang w:eastAsia="el-GR"/>
              </w:rPr>
              <w:br/>
            </w:r>
            <w:r w:rsidRPr="00583928">
              <w:rPr>
                <w:rFonts w:ascii="inherit" w:eastAsia="Times New Roman" w:hAnsi="inherit" w:cs="Arial"/>
                <w:b/>
                <w:bCs/>
                <w:color w:val="5F5E5C"/>
                <w:sz w:val="20"/>
                <w:lang w:eastAsia="el-GR"/>
              </w:rPr>
              <w:t>ΣΥΜΕΩΝ (ΣΙΜΟΣ) ΡΟΥΣΣΟΣ</w:t>
            </w:r>
          </w:p>
        </w:tc>
      </w:tr>
    </w:tbl>
    <w:p w:rsidR="00E94F5E" w:rsidRDefault="00583928"/>
    <w:sectPr w:rsidR="00E94F5E" w:rsidSect="007821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C5457"/>
    <w:multiLevelType w:val="multilevel"/>
    <w:tmpl w:val="9208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254DAD"/>
    <w:multiLevelType w:val="multilevel"/>
    <w:tmpl w:val="6158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0D0E50"/>
    <w:multiLevelType w:val="multilevel"/>
    <w:tmpl w:val="7AA0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583928"/>
    <w:rsid w:val="00583928"/>
    <w:rsid w:val="0078212B"/>
    <w:rsid w:val="008248D0"/>
    <w:rsid w:val="00D112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2B"/>
  </w:style>
  <w:style w:type="paragraph" w:styleId="1">
    <w:name w:val="heading 1"/>
    <w:basedOn w:val="a"/>
    <w:link w:val="1Char"/>
    <w:uiPriority w:val="9"/>
    <w:qFormat/>
    <w:rsid w:val="005839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83928"/>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5839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83928"/>
    <w:rPr>
      <w:b/>
      <w:bCs/>
    </w:rPr>
  </w:style>
  <w:style w:type="character" w:styleId="a4">
    <w:name w:val="Emphasis"/>
    <w:basedOn w:val="a0"/>
    <w:uiPriority w:val="20"/>
    <w:qFormat/>
    <w:rsid w:val="00583928"/>
    <w:rPr>
      <w:i/>
      <w:iCs/>
    </w:rPr>
  </w:style>
  <w:style w:type="character" w:styleId="-">
    <w:name w:val="Hyperlink"/>
    <w:basedOn w:val="a0"/>
    <w:uiPriority w:val="99"/>
    <w:semiHidden/>
    <w:unhideWhenUsed/>
    <w:rsid w:val="00583928"/>
    <w:rPr>
      <w:color w:val="0000FF"/>
      <w:u w:val="single"/>
    </w:rPr>
  </w:style>
  <w:style w:type="paragraph" w:styleId="a5">
    <w:name w:val="Balloon Text"/>
    <w:basedOn w:val="a"/>
    <w:link w:val="Char"/>
    <w:uiPriority w:val="99"/>
    <w:semiHidden/>
    <w:unhideWhenUsed/>
    <w:rsid w:val="0058392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839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052653">
      <w:bodyDiv w:val="1"/>
      <w:marLeft w:val="0"/>
      <w:marRight w:val="0"/>
      <w:marTop w:val="0"/>
      <w:marBottom w:val="0"/>
      <w:divBdr>
        <w:top w:val="none" w:sz="0" w:space="0" w:color="auto"/>
        <w:left w:val="none" w:sz="0" w:space="0" w:color="auto"/>
        <w:bottom w:val="none" w:sz="0" w:space="0" w:color="auto"/>
        <w:right w:val="none" w:sz="0" w:space="0" w:color="auto"/>
      </w:divBdr>
      <w:divsChild>
        <w:div w:id="1164056223">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ep.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3652</Words>
  <Characters>19726</Characters>
  <Application>Microsoft Office Word</Application>
  <DocSecurity>0</DocSecurity>
  <Lines>164</Lines>
  <Paragraphs>46</Paragraphs>
  <ScaleCrop>false</ScaleCrop>
  <Company/>
  <LinksUpToDate>false</LinksUpToDate>
  <CharactersWithSpaces>23332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2017-12-28T18:39:00Z</dcterms:created>
  <dcterms:modified xsi:type="dcterms:W3CDTF">2017-12-28T18:56:00Z</dcterms:modified>
</cp:coreProperties>
</file>