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05D" w:rsidRPr="00DC1A62" w:rsidRDefault="0018305D" w:rsidP="0002066A">
      <w:pPr>
        <w:spacing w:before="120" w:after="120" w:line="240" w:lineRule="auto"/>
        <w:jc w:val="center"/>
        <w:rPr>
          <w:rFonts w:asciiTheme="minorHAnsi" w:hAnsiTheme="minorHAnsi"/>
          <w:sz w:val="52"/>
          <w:szCs w:val="52"/>
        </w:rPr>
      </w:pPr>
      <w:r w:rsidRPr="00DC1A62">
        <w:rPr>
          <w:rFonts w:asciiTheme="minorHAnsi" w:hAnsiTheme="minorHAnsi"/>
          <w:b/>
          <w:sz w:val="52"/>
          <w:szCs w:val="52"/>
        </w:rPr>
        <w:t>Τα οικονομικά της ΤΑ</w:t>
      </w:r>
      <w:r w:rsidRPr="00DC1A62">
        <w:rPr>
          <w:rFonts w:asciiTheme="minorHAnsi" w:hAnsiTheme="minorHAnsi"/>
          <w:sz w:val="52"/>
          <w:szCs w:val="52"/>
        </w:rPr>
        <w:t xml:space="preserve"> </w:t>
      </w:r>
      <w:r w:rsidRPr="00DC1A62">
        <w:rPr>
          <w:rFonts w:asciiTheme="minorHAnsi" w:hAnsiTheme="minorHAnsi"/>
          <w:b/>
          <w:sz w:val="52"/>
          <w:szCs w:val="52"/>
        </w:rPr>
        <w:t>στο</w:t>
      </w:r>
      <w:r w:rsidRPr="00DC1A62">
        <w:rPr>
          <w:rFonts w:asciiTheme="minorHAnsi" w:hAnsiTheme="minorHAnsi"/>
          <w:sz w:val="52"/>
          <w:szCs w:val="52"/>
        </w:rPr>
        <w:t xml:space="preserve"> </w:t>
      </w:r>
    </w:p>
    <w:p w:rsidR="00665C63" w:rsidRPr="00DC1A62" w:rsidRDefault="0018305D" w:rsidP="0002066A">
      <w:pPr>
        <w:spacing w:before="120" w:after="120" w:line="240" w:lineRule="auto"/>
        <w:jc w:val="center"/>
        <w:rPr>
          <w:rFonts w:asciiTheme="minorHAnsi" w:hAnsiTheme="minorHAnsi"/>
          <w:b/>
          <w:bCs/>
          <w:sz w:val="36"/>
          <w:szCs w:val="36"/>
        </w:rPr>
      </w:pPr>
      <w:r w:rsidRPr="00DC1A62">
        <w:rPr>
          <w:rFonts w:asciiTheme="minorHAnsi" w:hAnsiTheme="minorHAnsi"/>
          <w:b/>
          <w:bCs/>
          <w:sz w:val="36"/>
          <w:szCs w:val="36"/>
        </w:rPr>
        <w:t>ΜΕΣΟΠΡΟΘΕΣΜΟ ΠΛΑΙΣΙΟ ΔΗΜΟΣΙΟΝΟΜΙΚΗΣ ΣΤΡΑΤΗΓΙΚΗΣ  2019-2022</w:t>
      </w:r>
    </w:p>
    <w:p w:rsidR="0018305D" w:rsidRPr="0002066A" w:rsidRDefault="0018305D" w:rsidP="0002066A">
      <w:pPr>
        <w:spacing w:before="120" w:after="120" w:line="240" w:lineRule="auto"/>
        <w:jc w:val="center"/>
        <w:rPr>
          <w:rFonts w:asciiTheme="minorHAnsi" w:hAnsiTheme="minorHAnsi"/>
          <w:b/>
          <w:bCs/>
          <w:sz w:val="24"/>
          <w:szCs w:val="24"/>
        </w:rPr>
      </w:pPr>
    </w:p>
    <w:p w:rsidR="00280C95" w:rsidRDefault="006049AA" w:rsidP="006049AA">
      <w:pPr>
        <w:spacing w:before="120" w:after="120" w:line="240" w:lineRule="auto"/>
        <w:jc w:val="both"/>
        <w:rPr>
          <w:rFonts w:asciiTheme="minorHAnsi" w:hAnsiTheme="minorHAnsi"/>
          <w:sz w:val="24"/>
          <w:szCs w:val="24"/>
        </w:rPr>
      </w:pPr>
      <w:r>
        <w:rPr>
          <w:rFonts w:asciiTheme="minorHAnsi" w:hAnsiTheme="minorHAnsi"/>
          <w:sz w:val="24"/>
          <w:szCs w:val="24"/>
          <w:lang w:val="en-US"/>
        </w:rPr>
        <w:t>T</w:t>
      </w:r>
      <w:r>
        <w:rPr>
          <w:rFonts w:asciiTheme="minorHAnsi" w:hAnsiTheme="minorHAnsi"/>
          <w:sz w:val="24"/>
          <w:szCs w:val="24"/>
        </w:rPr>
        <w:t>ο Μεσοπρόθεσμο Πλαίσιο Δημοσιονομικής Σ</w:t>
      </w:r>
      <w:r w:rsidRPr="006049AA">
        <w:rPr>
          <w:rFonts w:asciiTheme="minorHAnsi" w:hAnsiTheme="minorHAnsi"/>
          <w:sz w:val="24"/>
          <w:szCs w:val="24"/>
        </w:rPr>
        <w:t xml:space="preserve">τρατηγικής </w:t>
      </w:r>
      <w:r>
        <w:rPr>
          <w:rFonts w:asciiTheme="minorHAnsi" w:hAnsiTheme="minorHAnsi"/>
          <w:sz w:val="24"/>
          <w:szCs w:val="24"/>
        </w:rPr>
        <w:t>(ΜΠΔΣ) 2019-2022, δεν είναι φιλικό προς την Τοπική Α</w:t>
      </w:r>
      <w:r w:rsidRPr="006049AA">
        <w:rPr>
          <w:rFonts w:asciiTheme="minorHAnsi" w:hAnsiTheme="minorHAnsi"/>
          <w:sz w:val="24"/>
          <w:szCs w:val="24"/>
        </w:rPr>
        <w:t>υτοδιοίκηση</w:t>
      </w:r>
      <w:r>
        <w:rPr>
          <w:rFonts w:asciiTheme="minorHAnsi" w:hAnsiTheme="minorHAnsi"/>
          <w:sz w:val="24"/>
          <w:szCs w:val="24"/>
        </w:rPr>
        <w:t>. Ό</w:t>
      </w:r>
      <w:r w:rsidRPr="006049AA">
        <w:rPr>
          <w:rFonts w:asciiTheme="minorHAnsi" w:hAnsiTheme="minorHAnsi"/>
          <w:sz w:val="24"/>
          <w:szCs w:val="24"/>
        </w:rPr>
        <w:t xml:space="preserve">χι μόνο </w:t>
      </w:r>
      <w:r>
        <w:rPr>
          <w:rFonts w:asciiTheme="minorHAnsi" w:hAnsiTheme="minorHAnsi"/>
          <w:sz w:val="24"/>
          <w:szCs w:val="24"/>
        </w:rPr>
        <w:t>συν</w:t>
      </w:r>
      <w:r w:rsidRPr="006049AA">
        <w:rPr>
          <w:rFonts w:asciiTheme="minorHAnsi" w:hAnsiTheme="minorHAnsi"/>
          <w:sz w:val="24"/>
          <w:szCs w:val="24"/>
        </w:rPr>
        <w:t xml:space="preserve">τηρεί το ασφυκτικό οικονομικό και διοικητικό </w:t>
      </w:r>
      <w:r>
        <w:rPr>
          <w:rFonts w:asciiTheme="minorHAnsi" w:hAnsiTheme="minorHAnsi"/>
          <w:sz w:val="24"/>
          <w:szCs w:val="24"/>
        </w:rPr>
        <w:t>πλαίσιο</w:t>
      </w:r>
      <w:r w:rsidR="003B7968">
        <w:rPr>
          <w:rFonts w:asciiTheme="minorHAnsi" w:hAnsiTheme="minorHAnsi"/>
          <w:sz w:val="24"/>
          <w:szCs w:val="24"/>
        </w:rPr>
        <w:t>,</w:t>
      </w:r>
      <w:r w:rsidRPr="006049AA">
        <w:rPr>
          <w:rFonts w:asciiTheme="minorHAnsi" w:hAnsiTheme="minorHAnsi"/>
          <w:sz w:val="24"/>
          <w:szCs w:val="24"/>
        </w:rPr>
        <w:t xml:space="preserve"> που δημιουργήθηκε από τις </w:t>
      </w:r>
      <w:proofErr w:type="spellStart"/>
      <w:r w:rsidRPr="006049AA">
        <w:rPr>
          <w:rFonts w:asciiTheme="minorHAnsi" w:hAnsiTheme="minorHAnsi"/>
          <w:sz w:val="24"/>
          <w:szCs w:val="24"/>
        </w:rPr>
        <w:t>μνη</w:t>
      </w:r>
      <w:r>
        <w:rPr>
          <w:rFonts w:asciiTheme="minorHAnsi" w:hAnsiTheme="minorHAnsi"/>
          <w:sz w:val="24"/>
          <w:szCs w:val="24"/>
        </w:rPr>
        <w:t>μονιακές</w:t>
      </w:r>
      <w:proofErr w:type="spellEnd"/>
      <w:r>
        <w:rPr>
          <w:rFonts w:asciiTheme="minorHAnsi" w:hAnsiTheme="minorHAnsi"/>
          <w:sz w:val="24"/>
          <w:szCs w:val="24"/>
        </w:rPr>
        <w:t xml:space="preserve"> παρεμβάσεις αλλά</w:t>
      </w:r>
      <w:r w:rsidR="003B7968">
        <w:rPr>
          <w:rFonts w:asciiTheme="minorHAnsi" w:hAnsiTheme="minorHAnsi"/>
          <w:sz w:val="24"/>
          <w:szCs w:val="24"/>
        </w:rPr>
        <w:t>,</w:t>
      </w:r>
      <w:r>
        <w:rPr>
          <w:rFonts w:asciiTheme="minorHAnsi" w:hAnsiTheme="minorHAnsi"/>
          <w:sz w:val="24"/>
          <w:szCs w:val="24"/>
        </w:rPr>
        <w:t xml:space="preserve"> επιτείνει</w:t>
      </w:r>
      <w:r w:rsidR="003B7968">
        <w:rPr>
          <w:rFonts w:asciiTheme="minorHAnsi" w:hAnsiTheme="minorHAnsi"/>
          <w:sz w:val="24"/>
          <w:szCs w:val="24"/>
        </w:rPr>
        <w:t xml:space="preserve"> το</w:t>
      </w:r>
      <w:r w:rsidRPr="006049AA">
        <w:rPr>
          <w:rFonts w:asciiTheme="minorHAnsi" w:hAnsiTheme="minorHAnsi"/>
          <w:sz w:val="24"/>
          <w:szCs w:val="24"/>
        </w:rPr>
        <w:t xml:space="preserve"> συγκεντρωτ</w:t>
      </w:r>
      <w:r w:rsidR="003B7968">
        <w:rPr>
          <w:rFonts w:asciiTheme="minorHAnsi" w:hAnsiTheme="minorHAnsi"/>
          <w:sz w:val="24"/>
          <w:szCs w:val="24"/>
        </w:rPr>
        <w:t>ισμό και την αφυδάτωση της Τοπικής Α</w:t>
      </w:r>
      <w:r w:rsidRPr="006049AA">
        <w:rPr>
          <w:rFonts w:asciiTheme="minorHAnsi" w:hAnsiTheme="minorHAnsi"/>
          <w:sz w:val="24"/>
          <w:szCs w:val="24"/>
        </w:rPr>
        <w:t>υτοδιοίκησης</w:t>
      </w:r>
      <w:r w:rsidR="003B7968">
        <w:rPr>
          <w:rFonts w:asciiTheme="minorHAnsi" w:hAnsiTheme="minorHAnsi"/>
          <w:sz w:val="24"/>
          <w:szCs w:val="24"/>
        </w:rPr>
        <w:t>,</w:t>
      </w:r>
      <w:r w:rsidRPr="006049AA">
        <w:rPr>
          <w:rFonts w:asciiTheme="minorHAnsi" w:hAnsiTheme="minorHAnsi"/>
          <w:sz w:val="24"/>
          <w:szCs w:val="24"/>
        </w:rPr>
        <w:t xml:space="preserve"> με </w:t>
      </w:r>
      <w:r>
        <w:rPr>
          <w:rFonts w:asciiTheme="minorHAnsi" w:hAnsiTheme="minorHAnsi"/>
          <w:sz w:val="24"/>
          <w:szCs w:val="24"/>
        </w:rPr>
        <w:t>δυσμενείς</w:t>
      </w:r>
      <w:r w:rsidRPr="006049AA">
        <w:rPr>
          <w:rFonts w:asciiTheme="minorHAnsi" w:hAnsiTheme="minorHAnsi"/>
          <w:sz w:val="24"/>
          <w:szCs w:val="24"/>
        </w:rPr>
        <w:t xml:space="preserve"> επιπτώσεις τόσο στην ίδια τη λειτουργία των δήμων όσο</w:t>
      </w:r>
      <w:r w:rsidR="003B7968">
        <w:rPr>
          <w:rFonts w:asciiTheme="minorHAnsi" w:hAnsiTheme="minorHAnsi"/>
          <w:sz w:val="24"/>
          <w:szCs w:val="24"/>
        </w:rPr>
        <w:t>,</w:t>
      </w:r>
      <w:r w:rsidRPr="006049AA">
        <w:rPr>
          <w:rFonts w:asciiTheme="minorHAnsi" w:hAnsiTheme="minorHAnsi"/>
          <w:sz w:val="24"/>
          <w:szCs w:val="24"/>
        </w:rPr>
        <w:t xml:space="preserve"> πολύ περισσότερο</w:t>
      </w:r>
      <w:r w:rsidR="003B7968">
        <w:rPr>
          <w:rFonts w:asciiTheme="minorHAnsi" w:hAnsiTheme="minorHAnsi"/>
          <w:sz w:val="24"/>
          <w:szCs w:val="24"/>
        </w:rPr>
        <w:t>,</w:t>
      </w:r>
      <w:r w:rsidRPr="006049AA">
        <w:rPr>
          <w:rFonts w:asciiTheme="minorHAnsi" w:hAnsiTheme="minorHAnsi"/>
          <w:sz w:val="24"/>
          <w:szCs w:val="24"/>
        </w:rPr>
        <w:t xml:space="preserve"> στην προσπάθεια της χώρας για ανάπτυξη</w:t>
      </w:r>
      <w:r>
        <w:rPr>
          <w:rFonts w:asciiTheme="minorHAnsi" w:hAnsiTheme="minorHAnsi"/>
          <w:sz w:val="24"/>
          <w:szCs w:val="24"/>
        </w:rPr>
        <w:t xml:space="preserve">. </w:t>
      </w:r>
    </w:p>
    <w:p w:rsidR="006049AA" w:rsidRDefault="006049AA" w:rsidP="006049AA">
      <w:pPr>
        <w:spacing w:before="120" w:after="120" w:line="240" w:lineRule="auto"/>
        <w:jc w:val="both"/>
        <w:rPr>
          <w:rFonts w:asciiTheme="minorHAnsi" w:hAnsiTheme="minorHAnsi"/>
          <w:sz w:val="24"/>
          <w:szCs w:val="24"/>
        </w:rPr>
      </w:pPr>
      <w:r>
        <w:rPr>
          <w:rFonts w:asciiTheme="minorHAnsi" w:hAnsiTheme="minorHAnsi"/>
          <w:sz w:val="24"/>
          <w:szCs w:val="24"/>
        </w:rPr>
        <w:t xml:space="preserve">Στις διατάξεις του ΜΠΔΣ προβλέπονται: </w:t>
      </w:r>
    </w:p>
    <w:p w:rsidR="006049AA" w:rsidRPr="003B7968" w:rsidRDefault="006049AA" w:rsidP="003B7968">
      <w:pPr>
        <w:pStyle w:val="a6"/>
        <w:numPr>
          <w:ilvl w:val="0"/>
          <w:numId w:val="1"/>
        </w:numPr>
        <w:spacing w:before="120" w:after="120" w:line="240" w:lineRule="auto"/>
        <w:jc w:val="both"/>
        <w:rPr>
          <w:rFonts w:asciiTheme="minorHAnsi" w:hAnsiTheme="minorHAnsi"/>
          <w:sz w:val="24"/>
          <w:szCs w:val="24"/>
        </w:rPr>
      </w:pPr>
      <w:r w:rsidRPr="003B7968">
        <w:rPr>
          <w:rFonts w:asciiTheme="minorHAnsi" w:hAnsiTheme="minorHAnsi"/>
          <w:sz w:val="24"/>
          <w:szCs w:val="24"/>
        </w:rPr>
        <w:t xml:space="preserve">Μειώσεις των ΚΑΠ </w:t>
      </w:r>
    </w:p>
    <w:p w:rsidR="006049AA" w:rsidRPr="003B7968" w:rsidRDefault="006049AA" w:rsidP="003B7968">
      <w:pPr>
        <w:pStyle w:val="a6"/>
        <w:numPr>
          <w:ilvl w:val="0"/>
          <w:numId w:val="1"/>
        </w:numPr>
        <w:spacing w:before="120" w:after="120" w:line="240" w:lineRule="auto"/>
        <w:jc w:val="both"/>
        <w:rPr>
          <w:rFonts w:asciiTheme="minorHAnsi" w:hAnsiTheme="minorHAnsi"/>
          <w:sz w:val="24"/>
          <w:szCs w:val="24"/>
        </w:rPr>
      </w:pPr>
      <w:r w:rsidRPr="003B7968">
        <w:rPr>
          <w:rFonts w:asciiTheme="minorHAnsi" w:hAnsiTheme="minorHAnsi"/>
          <w:sz w:val="24"/>
          <w:szCs w:val="24"/>
        </w:rPr>
        <w:t xml:space="preserve">Αφαίρεση κοινωνικών υπηρεσιών από τους δήμους και </w:t>
      </w:r>
      <w:proofErr w:type="spellStart"/>
      <w:r w:rsidRPr="003B7968">
        <w:rPr>
          <w:rFonts w:asciiTheme="minorHAnsi" w:hAnsiTheme="minorHAnsi"/>
          <w:sz w:val="24"/>
          <w:szCs w:val="24"/>
        </w:rPr>
        <w:t>επανασυγκέντρωση</w:t>
      </w:r>
      <w:proofErr w:type="spellEnd"/>
      <w:r w:rsidRPr="003B7968">
        <w:rPr>
          <w:rFonts w:asciiTheme="minorHAnsi" w:hAnsiTheme="minorHAnsi"/>
          <w:sz w:val="24"/>
          <w:szCs w:val="24"/>
        </w:rPr>
        <w:t xml:space="preserve"> τους στο κεντρικό κράτος </w:t>
      </w:r>
    </w:p>
    <w:p w:rsidR="006049AA" w:rsidRDefault="006049AA" w:rsidP="003B7968">
      <w:pPr>
        <w:pStyle w:val="a6"/>
        <w:numPr>
          <w:ilvl w:val="0"/>
          <w:numId w:val="1"/>
        </w:numPr>
        <w:spacing w:before="120" w:after="120" w:line="240" w:lineRule="auto"/>
        <w:jc w:val="both"/>
        <w:rPr>
          <w:rFonts w:asciiTheme="minorHAnsi" w:hAnsiTheme="minorHAnsi"/>
          <w:sz w:val="24"/>
          <w:szCs w:val="24"/>
        </w:rPr>
      </w:pPr>
      <w:r w:rsidRPr="003B7968">
        <w:rPr>
          <w:rFonts w:asciiTheme="minorHAnsi" w:hAnsiTheme="minorHAnsi"/>
          <w:sz w:val="24"/>
          <w:szCs w:val="24"/>
        </w:rPr>
        <w:t xml:space="preserve">Περιορισμό των ανθρώπινων πόρων της Τοπικής Αυτοδιοίκησης </w:t>
      </w:r>
    </w:p>
    <w:p w:rsidR="003B7968" w:rsidRDefault="003B7968" w:rsidP="003B7968">
      <w:pPr>
        <w:pStyle w:val="a6"/>
        <w:numPr>
          <w:ilvl w:val="0"/>
          <w:numId w:val="1"/>
        </w:numPr>
        <w:spacing w:before="120" w:after="120" w:line="240" w:lineRule="auto"/>
        <w:jc w:val="both"/>
        <w:rPr>
          <w:rFonts w:asciiTheme="minorHAnsi" w:hAnsiTheme="minorHAnsi"/>
          <w:sz w:val="24"/>
          <w:szCs w:val="24"/>
        </w:rPr>
      </w:pPr>
      <w:r w:rsidRPr="003B7968">
        <w:rPr>
          <w:rFonts w:asciiTheme="minorHAnsi" w:hAnsiTheme="minorHAnsi"/>
          <w:sz w:val="24"/>
          <w:szCs w:val="24"/>
        </w:rPr>
        <w:t xml:space="preserve">Απαιτήσεις για δημιουργία εξωπραγματικών πλεονασμάτων </w:t>
      </w:r>
    </w:p>
    <w:p w:rsidR="003B7968" w:rsidRPr="003B7968" w:rsidRDefault="003B7968" w:rsidP="003B7968">
      <w:pPr>
        <w:pStyle w:val="a6"/>
        <w:numPr>
          <w:ilvl w:val="0"/>
          <w:numId w:val="1"/>
        </w:numPr>
        <w:spacing w:before="120" w:after="120" w:line="240" w:lineRule="auto"/>
        <w:jc w:val="both"/>
        <w:rPr>
          <w:rFonts w:asciiTheme="minorHAnsi" w:hAnsiTheme="minorHAnsi"/>
          <w:sz w:val="24"/>
          <w:szCs w:val="24"/>
        </w:rPr>
      </w:pPr>
      <w:r>
        <w:rPr>
          <w:rFonts w:asciiTheme="minorHAnsi" w:hAnsiTheme="minorHAnsi"/>
          <w:sz w:val="24"/>
          <w:szCs w:val="24"/>
        </w:rPr>
        <w:t>Προσπάθεια μετατροπής των δήμων σε φορομπηχτικό μηχανισμό</w:t>
      </w:r>
    </w:p>
    <w:p w:rsidR="006049AA" w:rsidRPr="003B7968" w:rsidRDefault="003B7968" w:rsidP="003B7968">
      <w:pPr>
        <w:pStyle w:val="a6"/>
        <w:numPr>
          <w:ilvl w:val="0"/>
          <w:numId w:val="1"/>
        </w:numPr>
        <w:spacing w:before="120" w:after="120" w:line="240" w:lineRule="auto"/>
        <w:jc w:val="both"/>
        <w:rPr>
          <w:rFonts w:asciiTheme="minorHAnsi" w:hAnsiTheme="minorHAnsi"/>
          <w:sz w:val="24"/>
          <w:szCs w:val="24"/>
        </w:rPr>
      </w:pPr>
      <w:r w:rsidRPr="003B7968">
        <w:rPr>
          <w:rFonts w:asciiTheme="minorHAnsi" w:hAnsiTheme="minorHAnsi"/>
          <w:sz w:val="24"/>
          <w:szCs w:val="24"/>
        </w:rPr>
        <w:t xml:space="preserve">Αύξηση της γραφειοκρατίας </w:t>
      </w:r>
      <w:r w:rsidR="006049AA" w:rsidRPr="003B7968">
        <w:rPr>
          <w:rFonts w:asciiTheme="minorHAnsi" w:hAnsiTheme="minorHAnsi"/>
          <w:sz w:val="24"/>
          <w:szCs w:val="24"/>
        </w:rPr>
        <w:t>και</w:t>
      </w:r>
      <w:r w:rsidR="009022D6">
        <w:rPr>
          <w:rFonts w:asciiTheme="minorHAnsi" w:hAnsiTheme="minorHAnsi"/>
          <w:sz w:val="24"/>
          <w:szCs w:val="24"/>
        </w:rPr>
        <w:t xml:space="preserve"> του πολιτικού ελέγχου των Υπουργείων,</w:t>
      </w:r>
      <w:bookmarkStart w:id="0" w:name="_GoBack"/>
      <w:bookmarkEnd w:id="0"/>
      <w:r w:rsidR="009022D6">
        <w:rPr>
          <w:rFonts w:asciiTheme="minorHAnsi" w:hAnsiTheme="minorHAnsi"/>
          <w:sz w:val="24"/>
          <w:szCs w:val="24"/>
        </w:rPr>
        <w:t xml:space="preserve"> στους ΟΤΑ</w:t>
      </w:r>
    </w:p>
    <w:p w:rsidR="006049AA" w:rsidRPr="003B7968" w:rsidRDefault="009022D6" w:rsidP="003B7968">
      <w:pPr>
        <w:pStyle w:val="a6"/>
        <w:numPr>
          <w:ilvl w:val="0"/>
          <w:numId w:val="1"/>
        </w:numPr>
        <w:spacing w:before="120" w:after="120" w:line="240" w:lineRule="auto"/>
        <w:jc w:val="both"/>
        <w:rPr>
          <w:rFonts w:asciiTheme="minorHAnsi" w:hAnsiTheme="minorHAnsi"/>
          <w:sz w:val="24"/>
          <w:szCs w:val="24"/>
        </w:rPr>
      </w:pPr>
      <w:r>
        <w:rPr>
          <w:rFonts w:asciiTheme="minorHAnsi" w:hAnsiTheme="minorHAnsi"/>
          <w:sz w:val="24"/>
          <w:szCs w:val="24"/>
        </w:rPr>
        <w:t>Π</w:t>
      </w:r>
      <w:r w:rsidR="006049AA" w:rsidRPr="003B7968">
        <w:rPr>
          <w:rFonts w:asciiTheme="minorHAnsi" w:hAnsiTheme="minorHAnsi"/>
          <w:sz w:val="24"/>
          <w:szCs w:val="24"/>
        </w:rPr>
        <w:t>εριορισμό της οικονομικής και διαχειριστικής αυτοτέλειας των δήμων</w:t>
      </w:r>
    </w:p>
    <w:p w:rsidR="003B7968" w:rsidRDefault="003B7968" w:rsidP="006049AA">
      <w:pPr>
        <w:spacing w:before="120" w:after="120" w:line="240" w:lineRule="auto"/>
        <w:jc w:val="both"/>
        <w:rPr>
          <w:rFonts w:asciiTheme="minorHAnsi" w:hAnsiTheme="minorHAnsi"/>
          <w:sz w:val="24"/>
          <w:szCs w:val="24"/>
        </w:rPr>
      </w:pPr>
      <w:r>
        <w:rPr>
          <w:rFonts w:asciiTheme="minorHAnsi" w:hAnsiTheme="minorHAnsi"/>
          <w:sz w:val="24"/>
          <w:szCs w:val="24"/>
        </w:rPr>
        <w:t>Ό</w:t>
      </w:r>
      <w:r w:rsidRPr="003B7968">
        <w:rPr>
          <w:rFonts w:asciiTheme="minorHAnsi" w:hAnsiTheme="minorHAnsi"/>
          <w:sz w:val="24"/>
          <w:szCs w:val="24"/>
        </w:rPr>
        <w:t>λα τα παραπά</w:t>
      </w:r>
      <w:r>
        <w:rPr>
          <w:rFonts w:asciiTheme="minorHAnsi" w:hAnsiTheme="minorHAnsi"/>
          <w:sz w:val="24"/>
          <w:szCs w:val="24"/>
        </w:rPr>
        <w:t>νω οδηγούν σε δύο</w:t>
      </w:r>
      <w:r w:rsidRPr="003B7968">
        <w:rPr>
          <w:rFonts w:asciiTheme="minorHAnsi" w:hAnsiTheme="minorHAnsi"/>
          <w:sz w:val="24"/>
          <w:szCs w:val="24"/>
        </w:rPr>
        <w:t xml:space="preserve"> συμπεράσματα</w:t>
      </w:r>
      <w:r>
        <w:rPr>
          <w:rFonts w:asciiTheme="minorHAnsi" w:hAnsiTheme="minorHAnsi"/>
          <w:sz w:val="24"/>
          <w:szCs w:val="24"/>
        </w:rPr>
        <w:t>:</w:t>
      </w:r>
      <w:r w:rsidRPr="003B7968">
        <w:rPr>
          <w:rFonts w:asciiTheme="minorHAnsi" w:hAnsiTheme="minorHAnsi"/>
          <w:sz w:val="24"/>
          <w:szCs w:val="24"/>
        </w:rPr>
        <w:t xml:space="preserve"> </w:t>
      </w:r>
    </w:p>
    <w:p w:rsidR="003B7968" w:rsidRPr="003B7968" w:rsidRDefault="003B7968" w:rsidP="003B7968">
      <w:pPr>
        <w:pStyle w:val="a6"/>
        <w:numPr>
          <w:ilvl w:val="0"/>
          <w:numId w:val="2"/>
        </w:numPr>
        <w:spacing w:before="120" w:after="120" w:line="240" w:lineRule="auto"/>
        <w:jc w:val="both"/>
        <w:rPr>
          <w:rFonts w:asciiTheme="minorHAnsi" w:hAnsiTheme="minorHAnsi"/>
          <w:sz w:val="24"/>
          <w:szCs w:val="24"/>
        </w:rPr>
      </w:pPr>
      <w:r w:rsidRPr="003B7968">
        <w:rPr>
          <w:rFonts w:asciiTheme="minorHAnsi" w:hAnsiTheme="minorHAnsi"/>
          <w:sz w:val="24"/>
          <w:szCs w:val="24"/>
        </w:rPr>
        <w:t>Η κυβέρνηση δεν έχει λάβει κανένα μάθημα ούτε από τη διαχείριση της κρίσης</w:t>
      </w:r>
      <w:r w:rsidR="009022D6">
        <w:rPr>
          <w:rFonts w:asciiTheme="minorHAnsi" w:hAnsiTheme="minorHAnsi"/>
          <w:sz w:val="24"/>
          <w:szCs w:val="24"/>
        </w:rPr>
        <w:t>,</w:t>
      </w:r>
      <w:r w:rsidRPr="003B7968">
        <w:rPr>
          <w:rFonts w:asciiTheme="minorHAnsi" w:hAnsiTheme="minorHAnsi"/>
          <w:sz w:val="24"/>
          <w:szCs w:val="24"/>
        </w:rPr>
        <w:t xml:space="preserve"> ούτε από την Ευρωπαϊκή εμπειρία</w:t>
      </w:r>
    </w:p>
    <w:p w:rsidR="003B7968" w:rsidRPr="003B7968" w:rsidRDefault="003B7968" w:rsidP="003B7968">
      <w:pPr>
        <w:pStyle w:val="a6"/>
        <w:numPr>
          <w:ilvl w:val="0"/>
          <w:numId w:val="2"/>
        </w:numPr>
        <w:spacing w:before="120" w:after="120" w:line="240" w:lineRule="auto"/>
        <w:jc w:val="both"/>
        <w:rPr>
          <w:rFonts w:asciiTheme="minorHAnsi" w:hAnsiTheme="minorHAnsi"/>
          <w:sz w:val="24"/>
          <w:szCs w:val="24"/>
        </w:rPr>
      </w:pPr>
      <w:r w:rsidRPr="003B7968">
        <w:rPr>
          <w:rFonts w:asciiTheme="minorHAnsi" w:hAnsiTheme="minorHAnsi"/>
          <w:sz w:val="24"/>
          <w:szCs w:val="24"/>
        </w:rPr>
        <w:t xml:space="preserve">Το πιο σημαντικό συμπέρασμα όμως είναι ότι οι ήδη λειτουργούντες οριακά δήμοι, με βάση τις προβλέψεις του Μεσοπρόθεσμου Πλαισίου Δημοσιονομικής Στρατηγικής </w:t>
      </w:r>
      <w:r w:rsidR="009022D6">
        <w:rPr>
          <w:rFonts w:asciiTheme="minorHAnsi" w:hAnsiTheme="minorHAnsi"/>
          <w:sz w:val="24"/>
          <w:szCs w:val="24"/>
        </w:rPr>
        <w:t xml:space="preserve">2019- 2022, </w:t>
      </w:r>
      <w:r w:rsidRPr="003B7968">
        <w:rPr>
          <w:rFonts w:asciiTheme="minorHAnsi" w:hAnsiTheme="minorHAnsi"/>
          <w:sz w:val="24"/>
          <w:szCs w:val="24"/>
        </w:rPr>
        <w:t>θα βρεθούν</w:t>
      </w:r>
      <w:r w:rsidR="009022D6">
        <w:rPr>
          <w:rFonts w:asciiTheme="minorHAnsi" w:hAnsiTheme="minorHAnsi"/>
          <w:sz w:val="24"/>
          <w:szCs w:val="24"/>
        </w:rPr>
        <w:t>,</w:t>
      </w:r>
      <w:r w:rsidRPr="003B7968">
        <w:rPr>
          <w:rFonts w:asciiTheme="minorHAnsi" w:hAnsiTheme="minorHAnsi"/>
          <w:sz w:val="24"/>
          <w:szCs w:val="24"/>
        </w:rPr>
        <w:t xml:space="preserve"> πολύ σύντομα</w:t>
      </w:r>
      <w:r w:rsidR="009022D6">
        <w:rPr>
          <w:rFonts w:asciiTheme="minorHAnsi" w:hAnsiTheme="minorHAnsi"/>
          <w:sz w:val="24"/>
          <w:szCs w:val="24"/>
        </w:rPr>
        <w:t>,</w:t>
      </w:r>
      <w:r w:rsidRPr="003B7968">
        <w:rPr>
          <w:rFonts w:asciiTheme="minorHAnsi" w:hAnsiTheme="minorHAnsi"/>
          <w:sz w:val="24"/>
          <w:szCs w:val="24"/>
        </w:rPr>
        <w:t xml:space="preserve"> σε οικονομικό και διαχειριστικό αδιέξοδο.</w:t>
      </w:r>
    </w:p>
    <w:p w:rsidR="003B7968" w:rsidRDefault="003B7968" w:rsidP="0002066A">
      <w:pPr>
        <w:spacing w:before="120" w:after="120" w:line="240" w:lineRule="auto"/>
        <w:rPr>
          <w:rFonts w:asciiTheme="minorHAnsi" w:hAnsiTheme="minorHAnsi"/>
          <w:b/>
          <w:sz w:val="32"/>
          <w:szCs w:val="32"/>
        </w:rPr>
      </w:pPr>
    </w:p>
    <w:p w:rsidR="00647A3C" w:rsidRPr="0002066A" w:rsidRDefault="0018305D" w:rsidP="0002066A">
      <w:pPr>
        <w:spacing w:before="120" w:after="120" w:line="240" w:lineRule="auto"/>
        <w:rPr>
          <w:rFonts w:asciiTheme="minorHAnsi" w:hAnsiTheme="minorHAnsi"/>
          <w:b/>
          <w:sz w:val="32"/>
          <w:szCs w:val="32"/>
        </w:rPr>
      </w:pPr>
      <w:r w:rsidRPr="0002066A">
        <w:rPr>
          <w:rFonts w:asciiTheme="minorHAnsi" w:hAnsiTheme="minorHAnsi"/>
          <w:b/>
          <w:sz w:val="32"/>
          <w:szCs w:val="32"/>
        </w:rPr>
        <w:t xml:space="preserve">Οι προβλέψεις για την πορεία των ΚΑΠ. </w:t>
      </w:r>
    </w:p>
    <w:p w:rsidR="0018305D" w:rsidRPr="0002066A" w:rsidRDefault="0018305D" w:rsidP="0002066A">
      <w:pPr>
        <w:spacing w:before="120" w:after="120" w:line="240" w:lineRule="auto"/>
        <w:jc w:val="both"/>
        <w:rPr>
          <w:rFonts w:asciiTheme="minorHAnsi" w:hAnsiTheme="minorHAnsi"/>
          <w:sz w:val="24"/>
          <w:szCs w:val="24"/>
        </w:rPr>
      </w:pPr>
      <w:r w:rsidRPr="0002066A">
        <w:rPr>
          <w:rFonts w:asciiTheme="minorHAnsi" w:hAnsiTheme="minorHAnsi"/>
          <w:sz w:val="24"/>
          <w:szCs w:val="24"/>
        </w:rPr>
        <w:t>Όπως προκύπτει από το παρακάτω γράφημα</w:t>
      </w:r>
      <w:r w:rsidR="00547994" w:rsidRPr="0002066A">
        <w:rPr>
          <w:rFonts w:asciiTheme="minorHAnsi" w:hAnsiTheme="minorHAnsi"/>
          <w:sz w:val="24"/>
          <w:szCs w:val="24"/>
        </w:rPr>
        <w:t>,</w:t>
      </w:r>
      <w:r w:rsidRPr="0002066A">
        <w:rPr>
          <w:rFonts w:asciiTheme="minorHAnsi" w:hAnsiTheme="minorHAnsi"/>
          <w:sz w:val="24"/>
          <w:szCs w:val="24"/>
        </w:rPr>
        <w:t xml:space="preserve"> τα νέα για την πορεία των ΚΑΠ, την επόμενη τετραετία, δεν είναι ιδιαίτερα ευχάριστα. </w:t>
      </w:r>
    </w:p>
    <w:p w:rsidR="0018305D" w:rsidRPr="0002066A" w:rsidRDefault="0018305D" w:rsidP="0002066A">
      <w:pPr>
        <w:spacing w:before="120" w:after="120" w:line="240" w:lineRule="auto"/>
        <w:jc w:val="both"/>
        <w:rPr>
          <w:rFonts w:asciiTheme="minorHAnsi" w:hAnsiTheme="minorHAnsi"/>
          <w:sz w:val="24"/>
          <w:szCs w:val="24"/>
        </w:rPr>
      </w:pPr>
    </w:p>
    <w:p w:rsidR="0018305D" w:rsidRPr="0002066A" w:rsidRDefault="0018305D" w:rsidP="0002066A">
      <w:pPr>
        <w:spacing w:before="120" w:after="120" w:line="240" w:lineRule="auto"/>
        <w:jc w:val="both"/>
        <w:rPr>
          <w:rFonts w:asciiTheme="minorHAnsi" w:hAnsiTheme="minorHAnsi"/>
          <w:sz w:val="24"/>
          <w:szCs w:val="24"/>
        </w:rPr>
      </w:pPr>
      <w:r w:rsidRPr="0002066A">
        <w:rPr>
          <w:rFonts w:asciiTheme="minorHAnsi" w:hAnsiTheme="minorHAnsi"/>
          <w:noProof/>
          <w:sz w:val="24"/>
          <w:szCs w:val="24"/>
          <w:lang w:eastAsia="el-GR"/>
        </w:rPr>
        <w:lastRenderedPageBreak/>
        <w:drawing>
          <wp:inline distT="0" distB="0" distL="0" distR="0">
            <wp:extent cx="4635500" cy="2584450"/>
            <wp:effectExtent l="57150" t="57150" r="184150" b="196850"/>
            <wp:docPr id="1"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8305D" w:rsidRPr="0002066A" w:rsidRDefault="0018305D" w:rsidP="0002066A">
      <w:pPr>
        <w:spacing w:before="120" w:after="120" w:line="240" w:lineRule="auto"/>
        <w:jc w:val="both"/>
        <w:rPr>
          <w:rFonts w:asciiTheme="minorHAnsi" w:hAnsiTheme="minorHAnsi"/>
          <w:sz w:val="24"/>
          <w:szCs w:val="24"/>
        </w:rPr>
      </w:pPr>
    </w:p>
    <w:p w:rsidR="0018305D" w:rsidRPr="0002066A" w:rsidRDefault="0018305D" w:rsidP="0002066A">
      <w:pPr>
        <w:spacing w:before="120" w:after="120" w:line="240" w:lineRule="auto"/>
        <w:jc w:val="both"/>
        <w:rPr>
          <w:rFonts w:asciiTheme="minorHAnsi" w:hAnsiTheme="minorHAnsi"/>
          <w:sz w:val="24"/>
          <w:szCs w:val="24"/>
        </w:rPr>
      </w:pPr>
      <w:r w:rsidRPr="0002066A">
        <w:rPr>
          <w:rFonts w:asciiTheme="minorHAnsi" w:hAnsiTheme="minorHAnsi"/>
          <w:sz w:val="24"/>
          <w:szCs w:val="24"/>
        </w:rPr>
        <w:t xml:space="preserve">Στο Μεσοπρόθεσμο Πλαίσιο Δημοσιονομικής Στρατηγικής </w:t>
      </w:r>
      <w:r w:rsidR="00ED0D05" w:rsidRPr="0002066A">
        <w:rPr>
          <w:rFonts w:asciiTheme="minorHAnsi" w:hAnsiTheme="minorHAnsi"/>
          <w:sz w:val="24"/>
          <w:szCs w:val="24"/>
        </w:rPr>
        <w:t xml:space="preserve">(ΜΠΔΣ) 2019-2022 προβλέπεται το τελευταίο έτος εφαρμογής του ΜΠΔΣ οι αποδιδόμενοι πόροι στην ΤΑ να είναι </w:t>
      </w:r>
      <w:r w:rsidR="00ED0D05" w:rsidRPr="0002066A">
        <w:rPr>
          <w:rFonts w:asciiTheme="minorHAnsi" w:hAnsiTheme="minorHAnsi"/>
          <w:b/>
          <w:sz w:val="24"/>
          <w:szCs w:val="24"/>
        </w:rPr>
        <w:t>μικρότεροι κατά 486 εκατ. €</w:t>
      </w:r>
      <w:r w:rsidR="00ED0D05" w:rsidRPr="0002066A">
        <w:rPr>
          <w:rFonts w:asciiTheme="minorHAnsi" w:hAnsiTheme="minorHAnsi"/>
          <w:sz w:val="24"/>
          <w:szCs w:val="24"/>
        </w:rPr>
        <w:t xml:space="preserve">  από τους αντίστοιχους πόρους του 2016. </w:t>
      </w:r>
    </w:p>
    <w:p w:rsidR="00ED0D05" w:rsidRPr="0002066A" w:rsidRDefault="00ED0D05" w:rsidP="0002066A">
      <w:pPr>
        <w:spacing w:before="120" w:after="120" w:line="240" w:lineRule="auto"/>
        <w:jc w:val="both"/>
        <w:rPr>
          <w:rFonts w:asciiTheme="minorHAnsi" w:hAnsiTheme="minorHAnsi"/>
          <w:sz w:val="24"/>
          <w:szCs w:val="24"/>
        </w:rPr>
      </w:pPr>
      <w:r w:rsidRPr="0002066A">
        <w:rPr>
          <w:rFonts w:asciiTheme="minorHAnsi" w:hAnsiTheme="minorHAnsi"/>
          <w:sz w:val="24"/>
          <w:szCs w:val="24"/>
        </w:rPr>
        <w:t>Θα πρέπει να τονιστεί ότι η προβλεπόμενη «έξοδος», τον Αύγουστο του 2018, από το μνημόνιο</w:t>
      </w:r>
      <w:r w:rsidR="00C63BE5" w:rsidRPr="0002066A">
        <w:rPr>
          <w:rFonts w:asciiTheme="minorHAnsi" w:hAnsiTheme="minorHAnsi"/>
          <w:sz w:val="24"/>
          <w:szCs w:val="24"/>
        </w:rPr>
        <w:t xml:space="preserve"> εμπεριέχει τη συνέχιση της</w:t>
      </w:r>
      <w:r w:rsidRPr="0002066A">
        <w:rPr>
          <w:rFonts w:asciiTheme="minorHAnsi" w:hAnsiTheme="minorHAnsi"/>
          <w:sz w:val="24"/>
          <w:szCs w:val="24"/>
        </w:rPr>
        <w:t xml:space="preserve"> εφαρμογή</w:t>
      </w:r>
      <w:r w:rsidR="00C63BE5" w:rsidRPr="0002066A">
        <w:rPr>
          <w:rFonts w:asciiTheme="minorHAnsi" w:hAnsiTheme="minorHAnsi"/>
          <w:sz w:val="24"/>
          <w:szCs w:val="24"/>
        </w:rPr>
        <w:t>ς</w:t>
      </w:r>
      <w:r w:rsidRPr="0002066A">
        <w:rPr>
          <w:rFonts w:asciiTheme="minorHAnsi" w:hAnsiTheme="minorHAnsi"/>
          <w:sz w:val="24"/>
          <w:szCs w:val="24"/>
        </w:rPr>
        <w:t xml:space="preserve"> όλων των </w:t>
      </w:r>
      <w:proofErr w:type="spellStart"/>
      <w:r w:rsidRPr="0002066A">
        <w:rPr>
          <w:rFonts w:asciiTheme="minorHAnsi" w:hAnsiTheme="minorHAnsi"/>
          <w:sz w:val="24"/>
          <w:szCs w:val="24"/>
        </w:rPr>
        <w:t>μνημονιακών</w:t>
      </w:r>
      <w:proofErr w:type="spellEnd"/>
      <w:r w:rsidRPr="0002066A">
        <w:rPr>
          <w:rFonts w:asciiTheme="minorHAnsi" w:hAnsiTheme="minorHAnsi"/>
          <w:sz w:val="24"/>
          <w:szCs w:val="24"/>
        </w:rPr>
        <w:t xml:space="preserve"> νόμων που ακρωτηρίασαν τον Ν. 3852/2010 και τους ΚΑΠ.  </w:t>
      </w:r>
    </w:p>
    <w:p w:rsidR="00ED0D05" w:rsidRPr="0002066A" w:rsidRDefault="00ED0D05" w:rsidP="0002066A">
      <w:pPr>
        <w:spacing w:before="120" w:after="120" w:line="240" w:lineRule="auto"/>
        <w:jc w:val="both"/>
        <w:rPr>
          <w:rFonts w:asciiTheme="minorHAnsi" w:hAnsiTheme="minorHAnsi"/>
          <w:sz w:val="24"/>
          <w:szCs w:val="24"/>
        </w:rPr>
      </w:pPr>
      <w:r w:rsidRPr="0002066A">
        <w:rPr>
          <w:rFonts w:asciiTheme="minorHAnsi" w:hAnsiTheme="minorHAnsi"/>
          <w:sz w:val="24"/>
          <w:szCs w:val="24"/>
        </w:rPr>
        <w:t>Εμπεριέχει επίσης</w:t>
      </w:r>
      <w:r w:rsidR="00C63BE5" w:rsidRPr="0002066A">
        <w:rPr>
          <w:rFonts w:asciiTheme="minorHAnsi" w:hAnsiTheme="minorHAnsi"/>
          <w:sz w:val="24"/>
          <w:szCs w:val="24"/>
        </w:rPr>
        <w:t>,</w:t>
      </w:r>
      <w:r w:rsidRPr="0002066A">
        <w:rPr>
          <w:rFonts w:asciiTheme="minorHAnsi" w:hAnsiTheme="minorHAnsi"/>
          <w:sz w:val="24"/>
          <w:szCs w:val="24"/>
        </w:rPr>
        <w:t xml:space="preserve"> </w:t>
      </w:r>
      <w:r w:rsidR="00C63BE5" w:rsidRPr="0002066A">
        <w:rPr>
          <w:rFonts w:asciiTheme="minorHAnsi" w:hAnsiTheme="minorHAnsi"/>
          <w:sz w:val="24"/>
          <w:szCs w:val="24"/>
        </w:rPr>
        <w:t>τη</w:t>
      </w:r>
      <w:r w:rsidRPr="0002066A">
        <w:rPr>
          <w:rFonts w:asciiTheme="minorHAnsi" w:hAnsiTheme="minorHAnsi"/>
          <w:sz w:val="24"/>
          <w:szCs w:val="24"/>
        </w:rPr>
        <w:t xml:space="preserve"> συνέχιση της πολιτικής παράνομης παρακράτησης νομοθετημένων εσόδων της ΤΑ από το κεντρικό κράτος. </w:t>
      </w:r>
    </w:p>
    <w:p w:rsidR="00ED0D05" w:rsidRPr="0002066A" w:rsidRDefault="00ED0D05" w:rsidP="0002066A">
      <w:pPr>
        <w:spacing w:before="120" w:after="120" w:line="240" w:lineRule="auto"/>
        <w:jc w:val="both"/>
        <w:rPr>
          <w:rFonts w:asciiTheme="minorHAnsi" w:hAnsiTheme="minorHAnsi"/>
          <w:sz w:val="24"/>
          <w:szCs w:val="24"/>
        </w:rPr>
      </w:pPr>
      <w:r w:rsidRPr="0002066A">
        <w:rPr>
          <w:rFonts w:asciiTheme="minorHAnsi" w:hAnsiTheme="minorHAnsi"/>
          <w:sz w:val="24"/>
          <w:szCs w:val="24"/>
        </w:rPr>
        <w:t xml:space="preserve">Παρά την ύπαρξη των </w:t>
      </w:r>
      <w:proofErr w:type="spellStart"/>
      <w:r w:rsidRPr="0002066A">
        <w:rPr>
          <w:rFonts w:asciiTheme="minorHAnsi" w:hAnsiTheme="minorHAnsi"/>
          <w:sz w:val="24"/>
          <w:szCs w:val="24"/>
        </w:rPr>
        <w:t>μνημονιακών</w:t>
      </w:r>
      <w:proofErr w:type="spellEnd"/>
      <w:r w:rsidRPr="0002066A">
        <w:rPr>
          <w:rFonts w:asciiTheme="minorHAnsi" w:hAnsiTheme="minorHAnsi"/>
          <w:sz w:val="24"/>
          <w:szCs w:val="24"/>
        </w:rPr>
        <w:t xml:space="preserve"> νόμων τα έσοδα των ΚΑΠ συνεχίζουν να είναι, ποσοστιαία, συνδεδεμένα με συγκεκριμένα φορολογικά έσοδα (Φόρο Εισοδήματος Φυσικών Προσώπων, Φόρο Εισοδήματος Νομικών Προσώπων, ΦΠΑ</w:t>
      </w:r>
      <w:r w:rsidR="00562750" w:rsidRPr="0002066A">
        <w:rPr>
          <w:rFonts w:asciiTheme="minorHAnsi" w:hAnsiTheme="minorHAnsi"/>
          <w:sz w:val="24"/>
          <w:szCs w:val="24"/>
        </w:rPr>
        <w:t xml:space="preserve"> και ΕΝΦΙΑ</w:t>
      </w:r>
      <w:r w:rsidRPr="0002066A">
        <w:rPr>
          <w:rFonts w:asciiTheme="minorHAnsi" w:hAnsiTheme="minorHAnsi"/>
          <w:sz w:val="24"/>
          <w:szCs w:val="24"/>
        </w:rPr>
        <w:t xml:space="preserve">). </w:t>
      </w:r>
    </w:p>
    <w:p w:rsidR="00ED0D05" w:rsidRPr="0002066A" w:rsidRDefault="00ED0D05" w:rsidP="0002066A">
      <w:pPr>
        <w:spacing w:before="120" w:after="120" w:line="240" w:lineRule="auto"/>
        <w:jc w:val="both"/>
        <w:rPr>
          <w:rFonts w:asciiTheme="minorHAnsi" w:hAnsiTheme="minorHAnsi"/>
          <w:sz w:val="24"/>
          <w:szCs w:val="24"/>
        </w:rPr>
      </w:pPr>
    </w:p>
    <w:p w:rsidR="00280C95" w:rsidRPr="0002066A" w:rsidRDefault="00280C95" w:rsidP="0002066A">
      <w:pPr>
        <w:spacing w:before="120" w:after="120" w:line="240" w:lineRule="auto"/>
        <w:jc w:val="both"/>
        <w:rPr>
          <w:rFonts w:asciiTheme="minorHAnsi" w:hAnsiTheme="minorHAnsi"/>
          <w:b/>
          <w:sz w:val="24"/>
          <w:szCs w:val="24"/>
        </w:rPr>
      </w:pPr>
    </w:p>
    <w:p w:rsidR="00562750" w:rsidRPr="0002066A" w:rsidRDefault="00562750" w:rsidP="0002066A">
      <w:pPr>
        <w:spacing w:before="120" w:after="120" w:line="240" w:lineRule="auto"/>
        <w:jc w:val="center"/>
        <w:rPr>
          <w:rFonts w:asciiTheme="minorHAnsi" w:hAnsiTheme="minorHAnsi"/>
          <w:b/>
          <w:sz w:val="24"/>
          <w:szCs w:val="24"/>
        </w:rPr>
      </w:pPr>
      <w:r w:rsidRPr="0002066A">
        <w:rPr>
          <w:rFonts w:asciiTheme="minorHAnsi" w:hAnsiTheme="minorHAnsi"/>
          <w:b/>
          <w:sz w:val="24"/>
          <w:szCs w:val="24"/>
        </w:rPr>
        <w:t>Φορολογικά έσοδα και αποδιδόμενο</w:t>
      </w:r>
      <w:r w:rsidR="00F74C5E" w:rsidRPr="0002066A">
        <w:rPr>
          <w:rFonts w:asciiTheme="minorHAnsi" w:hAnsiTheme="minorHAnsi"/>
          <w:b/>
          <w:sz w:val="24"/>
          <w:szCs w:val="24"/>
        </w:rPr>
        <w:t>ι</w:t>
      </w:r>
      <w:r w:rsidRPr="0002066A">
        <w:rPr>
          <w:rFonts w:asciiTheme="minorHAnsi" w:hAnsiTheme="minorHAnsi"/>
          <w:b/>
          <w:sz w:val="24"/>
          <w:szCs w:val="24"/>
        </w:rPr>
        <w:t xml:space="preserve"> πόροι στην ΤΑ</w:t>
      </w:r>
    </w:p>
    <w:tbl>
      <w:tblPr>
        <w:tblStyle w:val="GridTable5DarkAccent5"/>
        <w:tblW w:w="7366" w:type="dxa"/>
        <w:tblInd w:w="-5" w:type="dxa"/>
        <w:tblLook w:val="04A0"/>
      </w:tblPr>
      <w:tblGrid>
        <w:gridCol w:w="2065"/>
        <w:gridCol w:w="757"/>
        <w:gridCol w:w="757"/>
        <w:gridCol w:w="757"/>
        <w:gridCol w:w="757"/>
        <w:gridCol w:w="757"/>
        <w:gridCol w:w="757"/>
        <w:gridCol w:w="759"/>
      </w:tblGrid>
      <w:tr w:rsidR="006A6747" w:rsidRPr="0002066A" w:rsidTr="006A6747">
        <w:trPr>
          <w:cnfStyle w:val="100000000000"/>
          <w:trHeight w:val="267"/>
        </w:trPr>
        <w:tc>
          <w:tcPr>
            <w:cnfStyle w:val="001000000000"/>
            <w:tcW w:w="2065" w:type="dxa"/>
            <w:noWrap/>
            <w:hideMark/>
          </w:tcPr>
          <w:p w:rsidR="00562750" w:rsidRPr="00562750" w:rsidRDefault="00562750" w:rsidP="0002066A">
            <w:pPr>
              <w:spacing w:before="120" w:after="120"/>
              <w:jc w:val="both"/>
              <w:rPr>
                <w:rFonts w:asciiTheme="minorHAnsi" w:eastAsia="Times New Roman" w:hAnsiTheme="minorHAnsi" w:cs="Times New Roman"/>
                <w:color w:val="000000"/>
                <w:sz w:val="24"/>
                <w:szCs w:val="24"/>
                <w:lang w:eastAsia="el-GR"/>
              </w:rPr>
            </w:pPr>
            <w:r w:rsidRPr="00562750">
              <w:rPr>
                <w:rFonts w:asciiTheme="minorHAnsi" w:eastAsia="Times New Roman" w:hAnsiTheme="minorHAnsi" w:cs="Times New Roman"/>
                <w:color w:val="000000"/>
                <w:sz w:val="24"/>
                <w:szCs w:val="24"/>
                <w:lang w:eastAsia="el-GR"/>
              </w:rPr>
              <w:t> </w:t>
            </w:r>
          </w:p>
        </w:tc>
        <w:tc>
          <w:tcPr>
            <w:tcW w:w="757" w:type="dxa"/>
            <w:noWrap/>
            <w:hideMark/>
          </w:tcPr>
          <w:p w:rsidR="00562750" w:rsidRPr="00723334" w:rsidRDefault="00562750" w:rsidP="0002066A">
            <w:pPr>
              <w:spacing w:before="120" w:after="120"/>
              <w:jc w:val="both"/>
              <w:cnfStyle w:val="100000000000"/>
              <w:rPr>
                <w:rFonts w:asciiTheme="minorHAnsi" w:eastAsia="Times New Roman" w:hAnsiTheme="minorHAnsi" w:cs="Times New Roman"/>
                <w:sz w:val="24"/>
                <w:szCs w:val="24"/>
                <w:lang w:eastAsia="el-GR"/>
              </w:rPr>
            </w:pPr>
            <w:r w:rsidRPr="00723334">
              <w:rPr>
                <w:rFonts w:asciiTheme="minorHAnsi" w:eastAsia="Times New Roman" w:hAnsiTheme="minorHAnsi" w:cs="Times New Roman"/>
                <w:sz w:val="24"/>
                <w:szCs w:val="24"/>
                <w:lang w:eastAsia="el-GR"/>
              </w:rPr>
              <w:t>2016</w:t>
            </w:r>
          </w:p>
        </w:tc>
        <w:tc>
          <w:tcPr>
            <w:tcW w:w="757" w:type="dxa"/>
            <w:noWrap/>
            <w:hideMark/>
          </w:tcPr>
          <w:p w:rsidR="00562750" w:rsidRPr="00723334" w:rsidRDefault="00562750" w:rsidP="0002066A">
            <w:pPr>
              <w:spacing w:before="120" w:after="120"/>
              <w:jc w:val="both"/>
              <w:cnfStyle w:val="100000000000"/>
              <w:rPr>
                <w:rFonts w:asciiTheme="minorHAnsi" w:eastAsia="Times New Roman" w:hAnsiTheme="minorHAnsi" w:cs="Times New Roman"/>
                <w:sz w:val="24"/>
                <w:szCs w:val="24"/>
                <w:lang w:eastAsia="el-GR"/>
              </w:rPr>
            </w:pPr>
            <w:r w:rsidRPr="00723334">
              <w:rPr>
                <w:rFonts w:asciiTheme="minorHAnsi" w:eastAsia="Times New Roman" w:hAnsiTheme="minorHAnsi" w:cs="Times New Roman"/>
                <w:sz w:val="24"/>
                <w:szCs w:val="24"/>
                <w:lang w:eastAsia="el-GR"/>
              </w:rPr>
              <w:t>2017</w:t>
            </w:r>
          </w:p>
        </w:tc>
        <w:tc>
          <w:tcPr>
            <w:tcW w:w="757" w:type="dxa"/>
            <w:noWrap/>
            <w:hideMark/>
          </w:tcPr>
          <w:p w:rsidR="00562750" w:rsidRPr="00723334" w:rsidRDefault="00562750" w:rsidP="0002066A">
            <w:pPr>
              <w:spacing w:before="120" w:after="120"/>
              <w:jc w:val="both"/>
              <w:cnfStyle w:val="100000000000"/>
              <w:rPr>
                <w:rFonts w:asciiTheme="minorHAnsi" w:eastAsia="Times New Roman" w:hAnsiTheme="minorHAnsi" w:cs="Times New Roman"/>
                <w:sz w:val="24"/>
                <w:szCs w:val="24"/>
                <w:lang w:eastAsia="el-GR"/>
              </w:rPr>
            </w:pPr>
            <w:r w:rsidRPr="00723334">
              <w:rPr>
                <w:rFonts w:asciiTheme="minorHAnsi" w:eastAsia="Times New Roman" w:hAnsiTheme="minorHAnsi" w:cs="Times New Roman"/>
                <w:sz w:val="24"/>
                <w:szCs w:val="24"/>
                <w:lang w:eastAsia="el-GR"/>
              </w:rPr>
              <w:t>2018</w:t>
            </w:r>
          </w:p>
        </w:tc>
        <w:tc>
          <w:tcPr>
            <w:tcW w:w="757" w:type="dxa"/>
            <w:noWrap/>
            <w:hideMark/>
          </w:tcPr>
          <w:p w:rsidR="00562750" w:rsidRPr="00723334" w:rsidRDefault="00562750" w:rsidP="0002066A">
            <w:pPr>
              <w:spacing w:before="120" w:after="120"/>
              <w:jc w:val="both"/>
              <w:cnfStyle w:val="100000000000"/>
              <w:rPr>
                <w:rFonts w:asciiTheme="minorHAnsi" w:eastAsia="Times New Roman" w:hAnsiTheme="minorHAnsi" w:cs="Times New Roman"/>
                <w:sz w:val="24"/>
                <w:szCs w:val="24"/>
                <w:lang w:eastAsia="el-GR"/>
              </w:rPr>
            </w:pPr>
            <w:r w:rsidRPr="00723334">
              <w:rPr>
                <w:rFonts w:asciiTheme="minorHAnsi" w:eastAsia="Times New Roman" w:hAnsiTheme="minorHAnsi" w:cs="Times New Roman"/>
                <w:sz w:val="24"/>
                <w:szCs w:val="24"/>
                <w:lang w:eastAsia="el-GR"/>
              </w:rPr>
              <w:t>2018</w:t>
            </w:r>
          </w:p>
        </w:tc>
        <w:tc>
          <w:tcPr>
            <w:tcW w:w="757" w:type="dxa"/>
            <w:noWrap/>
            <w:hideMark/>
          </w:tcPr>
          <w:p w:rsidR="00562750" w:rsidRPr="00723334" w:rsidRDefault="00562750" w:rsidP="0002066A">
            <w:pPr>
              <w:spacing w:before="120" w:after="120"/>
              <w:jc w:val="both"/>
              <w:cnfStyle w:val="100000000000"/>
              <w:rPr>
                <w:rFonts w:asciiTheme="minorHAnsi" w:eastAsia="Times New Roman" w:hAnsiTheme="minorHAnsi" w:cs="Times New Roman"/>
                <w:sz w:val="24"/>
                <w:szCs w:val="24"/>
                <w:lang w:eastAsia="el-GR"/>
              </w:rPr>
            </w:pPr>
            <w:r w:rsidRPr="00723334">
              <w:rPr>
                <w:rFonts w:asciiTheme="minorHAnsi" w:eastAsia="Times New Roman" w:hAnsiTheme="minorHAnsi" w:cs="Times New Roman"/>
                <w:sz w:val="24"/>
                <w:szCs w:val="24"/>
                <w:lang w:eastAsia="el-GR"/>
              </w:rPr>
              <w:t>2020</w:t>
            </w:r>
          </w:p>
        </w:tc>
        <w:tc>
          <w:tcPr>
            <w:tcW w:w="757" w:type="dxa"/>
            <w:noWrap/>
            <w:hideMark/>
          </w:tcPr>
          <w:p w:rsidR="00562750" w:rsidRPr="00723334" w:rsidRDefault="00562750" w:rsidP="0002066A">
            <w:pPr>
              <w:spacing w:before="120" w:after="120"/>
              <w:jc w:val="both"/>
              <w:cnfStyle w:val="100000000000"/>
              <w:rPr>
                <w:rFonts w:asciiTheme="minorHAnsi" w:eastAsia="Times New Roman" w:hAnsiTheme="minorHAnsi" w:cs="Times New Roman"/>
                <w:sz w:val="24"/>
                <w:szCs w:val="24"/>
                <w:lang w:eastAsia="el-GR"/>
              </w:rPr>
            </w:pPr>
            <w:r w:rsidRPr="00723334">
              <w:rPr>
                <w:rFonts w:asciiTheme="minorHAnsi" w:eastAsia="Times New Roman" w:hAnsiTheme="minorHAnsi" w:cs="Times New Roman"/>
                <w:sz w:val="24"/>
                <w:szCs w:val="24"/>
                <w:lang w:eastAsia="el-GR"/>
              </w:rPr>
              <w:t>2021</w:t>
            </w:r>
          </w:p>
        </w:tc>
        <w:tc>
          <w:tcPr>
            <w:tcW w:w="759" w:type="dxa"/>
            <w:noWrap/>
            <w:hideMark/>
          </w:tcPr>
          <w:p w:rsidR="00562750" w:rsidRPr="00723334" w:rsidRDefault="00562750" w:rsidP="0002066A">
            <w:pPr>
              <w:spacing w:before="120" w:after="120"/>
              <w:jc w:val="both"/>
              <w:cnfStyle w:val="100000000000"/>
              <w:rPr>
                <w:rFonts w:asciiTheme="minorHAnsi" w:eastAsia="Times New Roman" w:hAnsiTheme="minorHAnsi" w:cs="Times New Roman"/>
                <w:sz w:val="24"/>
                <w:szCs w:val="24"/>
                <w:lang w:eastAsia="el-GR"/>
              </w:rPr>
            </w:pPr>
            <w:r w:rsidRPr="00723334">
              <w:rPr>
                <w:rFonts w:asciiTheme="minorHAnsi" w:eastAsia="Times New Roman" w:hAnsiTheme="minorHAnsi" w:cs="Times New Roman"/>
                <w:sz w:val="24"/>
                <w:szCs w:val="24"/>
                <w:lang w:eastAsia="el-GR"/>
              </w:rPr>
              <w:t>2022</w:t>
            </w:r>
          </w:p>
        </w:tc>
      </w:tr>
      <w:tr w:rsidR="006A6747" w:rsidRPr="0002066A" w:rsidTr="006A6747">
        <w:trPr>
          <w:cnfStyle w:val="000000100000"/>
          <w:trHeight w:val="267"/>
        </w:trPr>
        <w:tc>
          <w:tcPr>
            <w:cnfStyle w:val="001000000000"/>
            <w:tcW w:w="2065" w:type="dxa"/>
            <w:noWrap/>
            <w:hideMark/>
          </w:tcPr>
          <w:p w:rsidR="00562750" w:rsidRPr="00562750" w:rsidRDefault="00562750" w:rsidP="0002066A">
            <w:pPr>
              <w:spacing w:before="120" w:after="120"/>
              <w:jc w:val="both"/>
              <w:rPr>
                <w:rFonts w:asciiTheme="minorHAnsi" w:eastAsia="Times New Roman" w:hAnsiTheme="minorHAnsi" w:cs="Times New Roman"/>
                <w:color w:val="000000"/>
                <w:sz w:val="24"/>
                <w:szCs w:val="24"/>
                <w:lang w:eastAsia="el-GR"/>
              </w:rPr>
            </w:pPr>
            <w:r w:rsidRPr="00723334">
              <w:rPr>
                <w:rFonts w:asciiTheme="minorHAnsi" w:eastAsia="Times New Roman" w:hAnsiTheme="minorHAnsi" w:cs="Times New Roman"/>
                <w:sz w:val="24"/>
                <w:szCs w:val="24"/>
                <w:lang w:eastAsia="el-GR"/>
              </w:rPr>
              <w:t xml:space="preserve">Φορολογικοί Πόροι </w:t>
            </w:r>
          </w:p>
        </w:tc>
        <w:tc>
          <w:tcPr>
            <w:tcW w:w="757" w:type="dxa"/>
            <w:noWrap/>
            <w:hideMark/>
          </w:tcPr>
          <w:p w:rsidR="00562750" w:rsidRPr="00723334" w:rsidRDefault="00562750" w:rsidP="0002066A">
            <w:pPr>
              <w:spacing w:before="120" w:after="120"/>
              <w:jc w:val="both"/>
              <w:cnfStyle w:val="000000100000"/>
              <w:rPr>
                <w:rFonts w:asciiTheme="minorHAnsi" w:eastAsia="Times New Roman" w:hAnsiTheme="minorHAnsi" w:cs="Times New Roman"/>
                <w:color w:val="000000"/>
                <w:sz w:val="16"/>
                <w:szCs w:val="16"/>
                <w:lang w:eastAsia="el-GR"/>
              </w:rPr>
            </w:pPr>
            <w:r w:rsidRPr="00723334">
              <w:rPr>
                <w:rFonts w:asciiTheme="minorHAnsi" w:eastAsia="Times New Roman" w:hAnsiTheme="minorHAnsi" w:cs="Times New Roman"/>
                <w:color w:val="000000"/>
                <w:sz w:val="16"/>
                <w:szCs w:val="16"/>
                <w:lang w:eastAsia="el-GR"/>
              </w:rPr>
              <w:t>21.842</w:t>
            </w:r>
          </w:p>
        </w:tc>
        <w:tc>
          <w:tcPr>
            <w:tcW w:w="757" w:type="dxa"/>
            <w:noWrap/>
            <w:hideMark/>
          </w:tcPr>
          <w:p w:rsidR="00562750" w:rsidRPr="00723334" w:rsidRDefault="00562750" w:rsidP="0002066A">
            <w:pPr>
              <w:spacing w:before="120" w:after="120"/>
              <w:jc w:val="both"/>
              <w:cnfStyle w:val="000000100000"/>
              <w:rPr>
                <w:rFonts w:asciiTheme="minorHAnsi" w:eastAsia="Times New Roman" w:hAnsiTheme="minorHAnsi" w:cs="Times New Roman"/>
                <w:color w:val="000000"/>
                <w:sz w:val="16"/>
                <w:szCs w:val="16"/>
                <w:lang w:eastAsia="el-GR"/>
              </w:rPr>
            </w:pPr>
            <w:r w:rsidRPr="00723334">
              <w:rPr>
                <w:rFonts w:asciiTheme="minorHAnsi" w:eastAsia="Times New Roman" w:hAnsiTheme="minorHAnsi" w:cs="Times New Roman"/>
                <w:color w:val="000000"/>
                <w:sz w:val="16"/>
                <w:szCs w:val="16"/>
                <w:lang w:eastAsia="el-GR"/>
              </w:rPr>
              <w:t>21.950</w:t>
            </w:r>
          </w:p>
        </w:tc>
        <w:tc>
          <w:tcPr>
            <w:tcW w:w="757" w:type="dxa"/>
            <w:noWrap/>
            <w:hideMark/>
          </w:tcPr>
          <w:p w:rsidR="00562750" w:rsidRPr="00723334" w:rsidRDefault="00562750" w:rsidP="0002066A">
            <w:pPr>
              <w:spacing w:before="120" w:after="120"/>
              <w:jc w:val="both"/>
              <w:cnfStyle w:val="000000100000"/>
              <w:rPr>
                <w:rFonts w:asciiTheme="minorHAnsi" w:eastAsia="Times New Roman" w:hAnsiTheme="minorHAnsi" w:cs="Times New Roman"/>
                <w:color w:val="000000"/>
                <w:sz w:val="16"/>
                <w:szCs w:val="16"/>
                <w:lang w:eastAsia="el-GR"/>
              </w:rPr>
            </w:pPr>
            <w:r w:rsidRPr="00723334">
              <w:rPr>
                <w:rFonts w:asciiTheme="minorHAnsi" w:eastAsia="Times New Roman" w:hAnsiTheme="minorHAnsi" w:cs="Times New Roman"/>
                <w:color w:val="000000"/>
                <w:sz w:val="16"/>
                <w:szCs w:val="16"/>
                <w:lang w:eastAsia="el-GR"/>
              </w:rPr>
              <w:t>22.135</w:t>
            </w:r>
          </w:p>
        </w:tc>
        <w:tc>
          <w:tcPr>
            <w:tcW w:w="757" w:type="dxa"/>
            <w:noWrap/>
            <w:hideMark/>
          </w:tcPr>
          <w:p w:rsidR="00562750" w:rsidRPr="00723334" w:rsidRDefault="00562750" w:rsidP="0002066A">
            <w:pPr>
              <w:spacing w:before="120" w:after="120"/>
              <w:jc w:val="both"/>
              <w:cnfStyle w:val="000000100000"/>
              <w:rPr>
                <w:rFonts w:asciiTheme="minorHAnsi" w:eastAsia="Times New Roman" w:hAnsiTheme="minorHAnsi" w:cs="Times New Roman"/>
                <w:color w:val="000000"/>
                <w:sz w:val="16"/>
                <w:szCs w:val="16"/>
                <w:lang w:eastAsia="el-GR"/>
              </w:rPr>
            </w:pPr>
            <w:r w:rsidRPr="00723334">
              <w:rPr>
                <w:rFonts w:asciiTheme="minorHAnsi" w:eastAsia="Times New Roman" w:hAnsiTheme="minorHAnsi" w:cs="Times New Roman"/>
                <w:color w:val="000000"/>
                <w:sz w:val="16"/>
                <w:szCs w:val="16"/>
                <w:lang w:eastAsia="el-GR"/>
              </w:rPr>
              <w:t>22.470</w:t>
            </w:r>
          </w:p>
        </w:tc>
        <w:tc>
          <w:tcPr>
            <w:tcW w:w="757" w:type="dxa"/>
            <w:noWrap/>
            <w:hideMark/>
          </w:tcPr>
          <w:p w:rsidR="00562750" w:rsidRPr="00723334" w:rsidRDefault="00562750" w:rsidP="0002066A">
            <w:pPr>
              <w:spacing w:before="120" w:after="120"/>
              <w:jc w:val="both"/>
              <w:cnfStyle w:val="000000100000"/>
              <w:rPr>
                <w:rFonts w:asciiTheme="minorHAnsi" w:eastAsia="Times New Roman" w:hAnsiTheme="minorHAnsi" w:cs="Times New Roman"/>
                <w:color w:val="000000"/>
                <w:sz w:val="16"/>
                <w:szCs w:val="16"/>
                <w:lang w:eastAsia="el-GR"/>
              </w:rPr>
            </w:pPr>
            <w:r w:rsidRPr="00723334">
              <w:rPr>
                <w:rFonts w:asciiTheme="minorHAnsi" w:eastAsia="Times New Roman" w:hAnsiTheme="minorHAnsi" w:cs="Times New Roman"/>
                <w:color w:val="000000"/>
                <w:sz w:val="16"/>
                <w:szCs w:val="16"/>
                <w:lang w:eastAsia="el-GR"/>
              </w:rPr>
              <w:t>23.820</w:t>
            </w:r>
          </w:p>
        </w:tc>
        <w:tc>
          <w:tcPr>
            <w:tcW w:w="757" w:type="dxa"/>
            <w:noWrap/>
            <w:hideMark/>
          </w:tcPr>
          <w:p w:rsidR="00562750" w:rsidRPr="00723334" w:rsidRDefault="00562750" w:rsidP="0002066A">
            <w:pPr>
              <w:spacing w:before="120" w:after="120"/>
              <w:jc w:val="both"/>
              <w:cnfStyle w:val="000000100000"/>
              <w:rPr>
                <w:rFonts w:asciiTheme="minorHAnsi" w:eastAsia="Times New Roman" w:hAnsiTheme="minorHAnsi" w:cs="Times New Roman"/>
                <w:color w:val="000000"/>
                <w:sz w:val="16"/>
                <w:szCs w:val="16"/>
                <w:lang w:eastAsia="el-GR"/>
              </w:rPr>
            </w:pPr>
            <w:r w:rsidRPr="00723334">
              <w:rPr>
                <w:rFonts w:asciiTheme="minorHAnsi" w:eastAsia="Times New Roman" w:hAnsiTheme="minorHAnsi" w:cs="Times New Roman"/>
                <w:color w:val="000000"/>
                <w:sz w:val="16"/>
                <w:szCs w:val="16"/>
                <w:lang w:eastAsia="el-GR"/>
              </w:rPr>
              <w:t>25.039</w:t>
            </w:r>
          </w:p>
        </w:tc>
        <w:tc>
          <w:tcPr>
            <w:tcW w:w="759" w:type="dxa"/>
            <w:noWrap/>
            <w:hideMark/>
          </w:tcPr>
          <w:p w:rsidR="00562750" w:rsidRPr="00723334" w:rsidRDefault="00562750" w:rsidP="0002066A">
            <w:pPr>
              <w:spacing w:before="120" w:after="120"/>
              <w:jc w:val="both"/>
              <w:cnfStyle w:val="000000100000"/>
              <w:rPr>
                <w:rFonts w:asciiTheme="minorHAnsi" w:eastAsia="Times New Roman" w:hAnsiTheme="minorHAnsi" w:cs="Times New Roman"/>
                <w:color w:val="000000"/>
                <w:sz w:val="16"/>
                <w:szCs w:val="16"/>
                <w:lang w:eastAsia="el-GR"/>
              </w:rPr>
            </w:pPr>
            <w:r w:rsidRPr="00723334">
              <w:rPr>
                <w:rFonts w:asciiTheme="minorHAnsi" w:eastAsia="Times New Roman" w:hAnsiTheme="minorHAnsi" w:cs="Times New Roman"/>
                <w:color w:val="000000"/>
                <w:sz w:val="16"/>
                <w:szCs w:val="16"/>
                <w:lang w:eastAsia="el-GR"/>
              </w:rPr>
              <w:t>26.119</w:t>
            </w:r>
          </w:p>
        </w:tc>
      </w:tr>
      <w:tr w:rsidR="006A6747" w:rsidRPr="0002066A" w:rsidTr="006A6747">
        <w:trPr>
          <w:trHeight w:val="267"/>
        </w:trPr>
        <w:tc>
          <w:tcPr>
            <w:cnfStyle w:val="001000000000"/>
            <w:tcW w:w="2065" w:type="dxa"/>
            <w:noWrap/>
            <w:hideMark/>
          </w:tcPr>
          <w:p w:rsidR="00562750" w:rsidRPr="00562750" w:rsidRDefault="00562750" w:rsidP="0002066A">
            <w:pPr>
              <w:spacing w:before="120" w:after="120"/>
              <w:jc w:val="both"/>
              <w:rPr>
                <w:rFonts w:asciiTheme="minorHAnsi" w:eastAsia="Times New Roman" w:hAnsiTheme="minorHAnsi" w:cs="Times New Roman"/>
                <w:color w:val="000000"/>
                <w:sz w:val="24"/>
                <w:szCs w:val="24"/>
                <w:lang w:eastAsia="el-GR"/>
              </w:rPr>
            </w:pPr>
            <w:r w:rsidRPr="00723334">
              <w:rPr>
                <w:rFonts w:asciiTheme="minorHAnsi" w:eastAsia="Times New Roman" w:hAnsiTheme="minorHAnsi" w:cs="Times New Roman"/>
                <w:sz w:val="24"/>
                <w:szCs w:val="24"/>
                <w:lang w:eastAsia="el-GR"/>
              </w:rPr>
              <w:t xml:space="preserve">Αποδιδόμενοι πόροι σε ΟΤΑ </w:t>
            </w:r>
          </w:p>
        </w:tc>
        <w:tc>
          <w:tcPr>
            <w:tcW w:w="757" w:type="dxa"/>
            <w:noWrap/>
            <w:hideMark/>
          </w:tcPr>
          <w:p w:rsidR="00562750" w:rsidRPr="00723334" w:rsidRDefault="00562750" w:rsidP="0002066A">
            <w:pPr>
              <w:spacing w:before="120" w:after="120"/>
              <w:jc w:val="both"/>
              <w:cnfStyle w:val="000000000000"/>
              <w:rPr>
                <w:rFonts w:asciiTheme="minorHAnsi" w:eastAsia="Times New Roman" w:hAnsiTheme="minorHAnsi" w:cs="Times New Roman"/>
                <w:color w:val="000000"/>
                <w:sz w:val="16"/>
                <w:szCs w:val="16"/>
                <w:lang w:eastAsia="el-GR"/>
              </w:rPr>
            </w:pPr>
            <w:r w:rsidRPr="00723334">
              <w:rPr>
                <w:rFonts w:asciiTheme="minorHAnsi" w:eastAsia="Times New Roman" w:hAnsiTheme="minorHAnsi" w:cs="Times New Roman"/>
                <w:color w:val="000000"/>
                <w:sz w:val="16"/>
                <w:szCs w:val="16"/>
                <w:lang w:eastAsia="el-GR"/>
              </w:rPr>
              <w:t>3.231</w:t>
            </w:r>
          </w:p>
        </w:tc>
        <w:tc>
          <w:tcPr>
            <w:tcW w:w="757" w:type="dxa"/>
            <w:noWrap/>
            <w:hideMark/>
          </w:tcPr>
          <w:p w:rsidR="00562750" w:rsidRPr="00723334" w:rsidRDefault="00562750" w:rsidP="0002066A">
            <w:pPr>
              <w:spacing w:before="120" w:after="120"/>
              <w:jc w:val="both"/>
              <w:cnfStyle w:val="000000000000"/>
              <w:rPr>
                <w:rFonts w:asciiTheme="minorHAnsi" w:eastAsia="Times New Roman" w:hAnsiTheme="minorHAnsi" w:cs="Times New Roman"/>
                <w:color w:val="000000"/>
                <w:sz w:val="16"/>
                <w:szCs w:val="16"/>
                <w:lang w:eastAsia="el-GR"/>
              </w:rPr>
            </w:pPr>
            <w:r w:rsidRPr="00723334">
              <w:rPr>
                <w:rFonts w:asciiTheme="minorHAnsi" w:eastAsia="Times New Roman" w:hAnsiTheme="minorHAnsi" w:cs="Times New Roman"/>
                <w:color w:val="000000"/>
                <w:sz w:val="16"/>
                <w:szCs w:val="16"/>
                <w:lang w:eastAsia="el-GR"/>
              </w:rPr>
              <w:t>3.014</w:t>
            </w:r>
          </w:p>
        </w:tc>
        <w:tc>
          <w:tcPr>
            <w:tcW w:w="757" w:type="dxa"/>
            <w:noWrap/>
            <w:hideMark/>
          </w:tcPr>
          <w:p w:rsidR="00562750" w:rsidRPr="00723334" w:rsidRDefault="00562750" w:rsidP="0002066A">
            <w:pPr>
              <w:spacing w:before="120" w:after="120"/>
              <w:jc w:val="both"/>
              <w:cnfStyle w:val="000000000000"/>
              <w:rPr>
                <w:rFonts w:asciiTheme="minorHAnsi" w:eastAsia="Times New Roman" w:hAnsiTheme="minorHAnsi" w:cs="Times New Roman"/>
                <w:color w:val="000000"/>
                <w:sz w:val="16"/>
                <w:szCs w:val="16"/>
                <w:lang w:eastAsia="el-GR"/>
              </w:rPr>
            </w:pPr>
            <w:r w:rsidRPr="00723334">
              <w:rPr>
                <w:rFonts w:asciiTheme="minorHAnsi" w:eastAsia="Times New Roman" w:hAnsiTheme="minorHAnsi" w:cs="Times New Roman"/>
                <w:color w:val="000000"/>
                <w:sz w:val="16"/>
                <w:szCs w:val="16"/>
                <w:lang w:eastAsia="el-GR"/>
              </w:rPr>
              <w:t>3.193</w:t>
            </w:r>
          </w:p>
        </w:tc>
        <w:tc>
          <w:tcPr>
            <w:tcW w:w="757" w:type="dxa"/>
            <w:noWrap/>
            <w:hideMark/>
          </w:tcPr>
          <w:p w:rsidR="00562750" w:rsidRPr="00723334" w:rsidRDefault="00562750" w:rsidP="0002066A">
            <w:pPr>
              <w:spacing w:before="120" w:after="120"/>
              <w:jc w:val="both"/>
              <w:cnfStyle w:val="000000000000"/>
              <w:rPr>
                <w:rFonts w:asciiTheme="minorHAnsi" w:eastAsia="Times New Roman" w:hAnsiTheme="minorHAnsi" w:cs="Times New Roman"/>
                <w:color w:val="000000"/>
                <w:sz w:val="16"/>
                <w:szCs w:val="16"/>
                <w:lang w:eastAsia="el-GR"/>
              </w:rPr>
            </w:pPr>
            <w:r w:rsidRPr="00723334">
              <w:rPr>
                <w:rFonts w:asciiTheme="minorHAnsi" w:eastAsia="Times New Roman" w:hAnsiTheme="minorHAnsi" w:cs="Times New Roman"/>
                <w:color w:val="000000"/>
                <w:sz w:val="16"/>
                <w:szCs w:val="16"/>
                <w:lang w:eastAsia="el-GR"/>
              </w:rPr>
              <w:t>2.510</w:t>
            </w:r>
          </w:p>
        </w:tc>
        <w:tc>
          <w:tcPr>
            <w:tcW w:w="757" w:type="dxa"/>
            <w:noWrap/>
            <w:hideMark/>
          </w:tcPr>
          <w:p w:rsidR="00562750" w:rsidRPr="00723334" w:rsidRDefault="00562750" w:rsidP="0002066A">
            <w:pPr>
              <w:spacing w:before="120" w:after="120"/>
              <w:jc w:val="both"/>
              <w:cnfStyle w:val="000000000000"/>
              <w:rPr>
                <w:rFonts w:asciiTheme="minorHAnsi" w:eastAsia="Times New Roman" w:hAnsiTheme="minorHAnsi" w:cs="Times New Roman"/>
                <w:color w:val="000000"/>
                <w:sz w:val="16"/>
                <w:szCs w:val="16"/>
                <w:lang w:eastAsia="el-GR"/>
              </w:rPr>
            </w:pPr>
            <w:r w:rsidRPr="00723334">
              <w:rPr>
                <w:rFonts w:asciiTheme="minorHAnsi" w:eastAsia="Times New Roman" w:hAnsiTheme="minorHAnsi" w:cs="Times New Roman"/>
                <w:color w:val="000000"/>
                <w:sz w:val="16"/>
                <w:szCs w:val="16"/>
                <w:lang w:eastAsia="el-GR"/>
              </w:rPr>
              <w:t>2.745</w:t>
            </w:r>
          </w:p>
        </w:tc>
        <w:tc>
          <w:tcPr>
            <w:tcW w:w="757" w:type="dxa"/>
            <w:noWrap/>
            <w:hideMark/>
          </w:tcPr>
          <w:p w:rsidR="00562750" w:rsidRPr="00723334" w:rsidRDefault="00562750" w:rsidP="0002066A">
            <w:pPr>
              <w:spacing w:before="120" w:after="120"/>
              <w:jc w:val="both"/>
              <w:cnfStyle w:val="000000000000"/>
              <w:rPr>
                <w:rFonts w:asciiTheme="minorHAnsi" w:eastAsia="Times New Roman" w:hAnsiTheme="minorHAnsi" w:cs="Times New Roman"/>
                <w:color w:val="000000"/>
                <w:sz w:val="16"/>
                <w:szCs w:val="16"/>
                <w:lang w:eastAsia="el-GR"/>
              </w:rPr>
            </w:pPr>
            <w:r w:rsidRPr="00723334">
              <w:rPr>
                <w:rFonts w:asciiTheme="minorHAnsi" w:eastAsia="Times New Roman" w:hAnsiTheme="minorHAnsi" w:cs="Times New Roman"/>
                <w:color w:val="000000"/>
                <w:sz w:val="16"/>
                <w:szCs w:val="16"/>
                <w:lang w:eastAsia="el-GR"/>
              </w:rPr>
              <w:t>2.745</w:t>
            </w:r>
          </w:p>
        </w:tc>
        <w:tc>
          <w:tcPr>
            <w:tcW w:w="759" w:type="dxa"/>
            <w:noWrap/>
            <w:hideMark/>
          </w:tcPr>
          <w:p w:rsidR="00562750" w:rsidRPr="00723334" w:rsidRDefault="00562750" w:rsidP="0002066A">
            <w:pPr>
              <w:spacing w:before="120" w:after="120"/>
              <w:jc w:val="both"/>
              <w:cnfStyle w:val="000000000000"/>
              <w:rPr>
                <w:rFonts w:asciiTheme="minorHAnsi" w:eastAsia="Times New Roman" w:hAnsiTheme="minorHAnsi" w:cs="Times New Roman"/>
                <w:color w:val="000000"/>
                <w:sz w:val="16"/>
                <w:szCs w:val="16"/>
                <w:lang w:eastAsia="el-GR"/>
              </w:rPr>
            </w:pPr>
            <w:r w:rsidRPr="00723334">
              <w:rPr>
                <w:rFonts w:asciiTheme="minorHAnsi" w:eastAsia="Times New Roman" w:hAnsiTheme="minorHAnsi" w:cs="Times New Roman"/>
                <w:color w:val="000000"/>
                <w:sz w:val="16"/>
                <w:szCs w:val="16"/>
                <w:lang w:eastAsia="el-GR"/>
              </w:rPr>
              <w:t>2.745</w:t>
            </w:r>
          </w:p>
        </w:tc>
      </w:tr>
    </w:tbl>
    <w:p w:rsidR="00562750" w:rsidRPr="0002066A" w:rsidRDefault="00562750" w:rsidP="0002066A">
      <w:pPr>
        <w:spacing w:before="120" w:after="120" w:line="240" w:lineRule="auto"/>
        <w:jc w:val="both"/>
        <w:rPr>
          <w:rFonts w:asciiTheme="minorHAnsi" w:hAnsiTheme="minorHAnsi"/>
          <w:sz w:val="24"/>
          <w:szCs w:val="24"/>
        </w:rPr>
      </w:pPr>
    </w:p>
    <w:p w:rsidR="00562750" w:rsidRPr="0002066A" w:rsidRDefault="00562750" w:rsidP="0002066A">
      <w:pPr>
        <w:spacing w:before="120" w:after="120" w:line="240" w:lineRule="auto"/>
        <w:jc w:val="both"/>
        <w:rPr>
          <w:rFonts w:asciiTheme="minorHAnsi" w:hAnsiTheme="minorHAnsi"/>
          <w:sz w:val="24"/>
          <w:szCs w:val="24"/>
        </w:rPr>
      </w:pPr>
      <w:r w:rsidRPr="0002066A">
        <w:rPr>
          <w:rFonts w:asciiTheme="minorHAnsi" w:hAnsiTheme="minorHAnsi"/>
          <w:sz w:val="24"/>
          <w:szCs w:val="24"/>
        </w:rPr>
        <w:t xml:space="preserve">Παρατηρείται ότι ενώ </w:t>
      </w:r>
      <w:r w:rsidRPr="0002066A">
        <w:rPr>
          <w:rFonts w:asciiTheme="minorHAnsi" w:hAnsiTheme="minorHAnsi"/>
          <w:b/>
          <w:sz w:val="24"/>
          <w:szCs w:val="24"/>
        </w:rPr>
        <w:t>τα έσο</w:t>
      </w:r>
      <w:r w:rsidR="00280C95" w:rsidRPr="0002066A">
        <w:rPr>
          <w:rFonts w:asciiTheme="minorHAnsi" w:hAnsiTheme="minorHAnsi"/>
          <w:b/>
          <w:sz w:val="24"/>
          <w:szCs w:val="24"/>
        </w:rPr>
        <w:t>δα από το Φόρο Εισοδήματος και Κ</w:t>
      </w:r>
      <w:r w:rsidRPr="0002066A">
        <w:rPr>
          <w:rFonts w:asciiTheme="minorHAnsi" w:hAnsiTheme="minorHAnsi"/>
          <w:b/>
          <w:sz w:val="24"/>
          <w:szCs w:val="24"/>
        </w:rPr>
        <w:t>ατανάλωσης (ΦΠΑ) προβλέπεται ότι θα αυξηθούν κατά 4.277 εκατ. €</w:t>
      </w:r>
      <w:r w:rsidR="00C63BE5" w:rsidRPr="0002066A">
        <w:rPr>
          <w:rFonts w:asciiTheme="minorHAnsi" w:hAnsiTheme="minorHAnsi"/>
          <w:b/>
          <w:sz w:val="24"/>
          <w:szCs w:val="24"/>
        </w:rPr>
        <w:t>,</w:t>
      </w:r>
      <w:r w:rsidRPr="0002066A">
        <w:rPr>
          <w:rFonts w:asciiTheme="minorHAnsi" w:hAnsiTheme="minorHAnsi"/>
          <w:b/>
          <w:sz w:val="24"/>
          <w:szCs w:val="24"/>
        </w:rPr>
        <w:t xml:space="preserve"> οι </w:t>
      </w:r>
      <w:r w:rsidRPr="0002066A">
        <w:rPr>
          <w:rFonts w:asciiTheme="minorHAnsi" w:hAnsiTheme="minorHAnsi"/>
          <w:b/>
          <w:sz w:val="24"/>
          <w:szCs w:val="24"/>
        </w:rPr>
        <w:lastRenderedPageBreak/>
        <w:t>ΚΑΠ, τη χρονική περίοδο εφαρμογής του ΜΠΔΣ, θα μειωθούν κατά 486 εκατ. €.</w:t>
      </w:r>
      <w:r w:rsidR="00C63BE5" w:rsidRPr="0002066A">
        <w:rPr>
          <w:rFonts w:asciiTheme="minorHAnsi" w:hAnsiTheme="minorHAnsi"/>
          <w:b/>
          <w:sz w:val="24"/>
          <w:szCs w:val="24"/>
        </w:rPr>
        <w:t xml:space="preserve"> </w:t>
      </w:r>
      <w:r w:rsidR="00C63BE5" w:rsidRPr="0002066A">
        <w:rPr>
          <w:rFonts w:asciiTheme="minorHAnsi" w:hAnsiTheme="minorHAnsi"/>
          <w:sz w:val="24"/>
          <w:szCs w:val="24"/>
        </w:rPr>
        <w:t>Η εφαρμογή του νόμου</w:t>
      </w:r>
      <w:r w:rsidR="00925936">
        <w:rPr>
          <w:rFonts w:asciiTheme="minorHAnsi" w:hAnsiTheme="minorHAnsi"/>
          <w:sz w:val="24"/>
          <w:szCs w:val="24"/>
        </w:rPr>
        <w:t xml:space="preserve">, την ίδια περίοδο, </w:t>
      </w:r>
      <w:r w:rsidR="00C63BE5" w:rsidRPr="0002066A">
        <w:rPr>
          <w:rFonts w:asciiTheme="minorHAnsi" w:hAnsiTheme="minorHAnsi"/>
          <w:sz w:val="24"/>
          <w:szCs w:val="24"/>
        </w:rPr>
        <w:t>θα είχε ως αποτέλεσμα την αύξηση των ΚΑΠ κατά 768 εκατ. €, όσον αφορά στους συγκεκριμένους φόρους.</w:t>
      </w:r>
      <w:r w:rsidR="00C63BE5" w:rsidRPr="0002066A">
        <w:rPr>
          <w:rFonts w:asciiTheme="minorHAnsi" w:hAnsiTheme="minorHAnsi"/>
          <w:b/>
          <w:sz w:val="24"/>
          <w:szCs w:val="24"/>
        </w:rPr>
        <w:t xml:space="preserve"> </w:t>
      </w:r>
      <w:r w:rsidR="00C63BE5" w:rsidRPr="0002066A">
        <w:rPr>
          <w:rFonts w:asciiTheme="minorHAnsi" w:hAnsiTheme="minorHAnsi"/>
          <w:sz w:val="24"/>
          <w:szCs w:val="24"/>
        </w:rPr>
        <w:t>Σημειωτέων ότι, στα παραπάνω έσοδα δεν έχουν προστεθεί ο ΕΝΦΙΑ και τα έσοδα ΠΟΕ</w:t>
      </w:r>
      <w:r w:rsidR="00E839B3" w:rsidRPr="0002066A">
        <w:rPr>
          <w:rFonts w:asciiTheme="minorHAnsi" w:hAnsiTheme="minorHAnsi"/>
          <w:sz w:val="24"/>
          <w:szCs w:val="24"/>
        </w:rPr>
        <w:t>.</w:t>
      </w:r>
    </w:p>
    <w:p w:rsidR="00280C95" w:rsidRPr="0002066A" w:rsidRDefault="00280C95" w:rsidP="0002066A">
      <w:pPr>
        <w:spacing w:before="120" w:after="120" w:line="240" w:lineRule="auto"/>
        <w:jc w:val="both"/>
        <w:rPr>
          <w:rFonts w:asciiTheme="minorHAnsi" w:hAnsiTheme="minorHAnsi"/>
          <w:b/>
          <w:sz w:val="24"/>
          <w:szCs w:val="24"/>
        </w:rPr>
      </w:pPr>
    </w:p>
    <w:p w:rsidR="00647A3C" w:rsidRPr="0002066A" w:rsidRDefault="00647A3C" w:rsidP="0002066A">
      <w:pPr>
        <w:spacing w:before="120" w:after="120" w:line="240" w:lineRule="auto"/>
        <w:jc w:val="both"/>
        <w:rPr>
          <w:rFonts w:asciiTheme="minorHAnsi" w:hAnsiTheme="minorHAnsi"/>
          <w:b/>
          <w:sz w:val="32"/>
          <w:szCs w:val="32"/>
        </w:rPr>
      </w:pPr>
      <w:r w:rsidRPr="0002066A">
        <w:rPr>
          <w:rFonts w:asciiTheme="minorHAnsi" w:hAnsiTheme="minorHAnsi"/>
          <w:b/>
          <w:sz w:val="32"/>
          <w:szCs w:val="32"/>
        </w:rPr>
        <w:t xml:space="preserve">Τα πλεονάσματα. </w:t>
      </w:r>
    </w:p>
    <w:p w:rsidR="00647A3C" w:rsidRPr="0002066A" w:rsidRDefault="00647A3C" w:rsidP="0002066A">
      <w:pPr>
        <w:spacing w:before="120" w:after="120" w:line="240" w:lineRule="auto"/>
        <w:jc w:val="both"/>
        <w:rPr>
          <w:rFonts w:asciiTheme="minorHAnsi" w:hAnsiTheme="minorHAnsi"/>
          <w:sz w:val="24"/>
          <w:szCs w:val="24"/>
        </w:rPr>
      </w:pPr>
      <w:r w:rsidRPr="0002066A">
        <w:rPr>
          <w:rFonts w:asciiTheme="minorHAnsi" w:hAnsiTheme="minorHAnsi"/>
          <w:sz w:val="24"/>
          <w:szCs w:val="24"/>
        </w:rPr>
        <w:t>Μετά τον περιορισμό των κρατικών επιχορηγήσεων προς την ΤΑ, που έρχονται να σωρευθούν στις δραστικές μειώσεις</w:t>
      </w:r>
      <w:r w:rsidR="00B67EA4" w:rsidRPr="0002066A">
        <w:rPr>
          <w:rFonts w:asciiTheme="minorHAnsi" w:hAnsiTheme="minorHAnsi"/>
          <w:sz w:val="24"/>
          <w:szCs w:val="24"/>
        </w:rPr>
        <w:t xml:space="preserve"> που, μέχρι σήμερα, </w:t>
      </w:r>
      <w:r w:rsidRPr="0002066A">
        <w:rPr>
          <w:rFonts w:asciiTheme="minorHAnsi" w:hAnsiTheme="minorHAnsi"/>
          <w:sz w:val="24"/>
          <w:szCs w:val="24"/>
        </w:rPr>
        <w:t>έχουν</w:t>
      </w:r>
      <w:r w:rsidR="00B67EA4" w:rsidRPr="0002066A">
        <w:rPr>
          <w:rFonts w:asciiTheme="minorHAnsi" w:hAnsiTheme="minorHAnsi"/>
          <w:sz w:val="24"/>
          <w:szCs w:val="24"/>
        </w:rPr>
        <w:t xml:space="preserve"> </w:t>
      </w:r>
      <w:r w:rsidRPr="0002066A">
        <w:rPr>
          <w:rFonts w:asciiTheme="minorHAnsi" w:hAnsiTheme="minorHAnsi"/>
          <w:sz w:val="24"/>
          <w:szCs w:val="24"/>
        </w:rPr>
        <w:t xml:space="preserve"> υπ</w:t>
      </w:r>
      <w:r w:rsidR="00B67EA4" w:rsidRPr="0002066A">
        <w:rPr>
          <w:rFonts w:asciiTheme="minorHAnsi" w:hAnsiTheme="minorHAnsi"/>
          <w:sz w:val="24"/>
          <w:szCs w:val="24"/>
        </w:rPr>
        <w:t>οστεί</w:t>
      </w:r>
      <w:r w:rsidRPr="0002066A">
        <w:rPr>
          <w:rFonts w:asciiTheme="minorHAnsi" w:hAnsiTheme="minorHAnsi"/>
          <w:sz w:val="24"/>
          <w:szCs w:val="24"/>
        </w:rPr>
        <w:t xml:space="preserve"> οι ΟΤΑ, </w:t>
      </w:r>
      <w:r w:rsidR="00B67EA4" w:rsidRPr="0002066A">
        <w:rPr>
          <w:rFonts w:asciiTheme="minorHAnsi" w:hAnsiTheme="minorHAnsi"/>
          <w:sz w:val="24"/>
          <w:szCs w:val="24"/>
        </w:rPr>
        <w:t>θα ήταν λογικός ο περιορισμός των πλεονασμάτων της ΤΑ, με την τάση να προσαρμοστούν στις θεσμικές Ευρωπαϊκές υποχρεώσεις</w:t>
      </w:r>
      <w:r w:rsidR="00DD4AEB" w:rsidRPr="0002066A">
        <w:rPr>
          <w:rFonts w:asciiTheme="minorHAnsi" w:hAnsiTheme="minorHAnsi"/>
          <w:sz w:val="24"/>
          <w:szCs w:val="24"/>
        </w:rPr>
        <w:t>, οι οποίες</w:t>
      </w:r>
      <w:r w:rsidR="00B67EA4" w:rsidRPr="0002066A">
        <w:rPr>
          <w:rFonts w:asciiTheme="minorHAnsi" w:hAnsiTheme="minorHAnsi"/>
          <w:sz w:val="24"/>
          <w:szCs w:val="24"/>
        </w:rPr>
        <w:t xml:space="preserve"> </w:t>
      </w:r>
      <w:r w:rsidR="00DD4AEB" w:rsidRPr="0002066A">
        <w:rPr>
          <w:rFonts w:asciiTheme="minorHAnsi" w:hAnsiTheme="minorHAnsi"/>
          <w:sz w:val="24"/>
          <w:szCs w:val="24"/>
        </w:rPr>
        <w:t>ορίζουν</w:t>
      </w:r>
      <w:r w:rsidR="00B67EA4" w:rsidRPr="0002066A">
        <w:rPr>
          <w:rFonts w:asciiTheme="minorHAnsi" w:hAnsiTheme="minorHAnsi"/>
          <w:sz w:val="24"/>
          <w:szCs w:val="24"/>
        </w:rPr>
        <w:t xml:space="preserve"> ισοσκελισμένους προϋπολογισμούς.  </w:t>
      </w:r>
    </w:p>
    <w:p w:rsidR="00B67EA4" w:rsidRPr="0002066A" w:rsidRDefault="00B67EA4" w:rsidP="0002066A">
      <w:pPr>
        <w:spacing w:before="120" w:after="120" w:line="240" w:lineRule="auto"/>
        <w:jc w:val="both"/>
        <w:rPr>
          <w:rFonts w:asciiTheme="minorHAnsi" w:hAnsiTheme="minorHAnsi"/>
          <w:sz w:val="24"/>
          <w:szCs w:val="24"/>
        </w:rPr>
      </w:pPr>
    </w:p>
    <w:p w:rsidR="00B67EA4" w:rsidRPr="0002066A" w:rsidRDefault="005B6201" w:rsidP="0002066A">
      <w:pPr>
        <w:spacing w:before="120" w:after="120" w:line="240" w:lineRule="auto"/>
        <w:jc w:val="both"/>
        <w:rPr>
          <w:rFonts w:asciiTheme="minorHAnsi" w:hAnsiTheme="minorHAnsi"/>
          <w:sz w:val="24"/>
          <w:szCs w:val="24"/>
        </w:rPr>
      </w:pPr>
      <w:r w:rsidRPr="0002066A">
        <w:rPr>
          <w:rFonts w:asciiTheme="minorHAnsi" w:hAnsiTheme="minorHAnsi"/>
          <w:noProof/>
          <w:sz w:val="24"/>
          <w:szCs w:val="24"/>
          <w:lang w:eastAsia="el-GR"/>
        </w:rPr>
        <w:drawing>
          <wp:inline distT="0" distB="0" distL="0" distR="0">
            <wp:extent cx="4572000" cy="2743200"/>
            <wp:effectExtent l="95250" t="95250" r="266700" b="266700"/>
            <wp:docPr id="2" name="Γράφημα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B6201" w:rsidRPr="0002066A" w:rsidRDefault="005B6201" w:rsidP="0002066A">
      <w:pPr>
        <w:spacing w:before="120" w:after="120" w:line="240" w:lineRule="auto"/>
        <w:jc w:val="both"/>
        <w:rPr>
          <w:rFonts w:asciiTheme="minorHAnsi" w:hAnsiTheme="minorHAnsi"/>
          <w:sz w:val="24"/>
          <w:szCs w:val="24"/>
        </w:rPr>
      </w:pPr>
    </w:p>
    <w:p w:rsidR="005B6201" w:rsidRPr="0002066A" w:rsidRDefault="005B6201" w:rsidP="0002066A">
      <w:pPr>
        <w:spacing w:before="120" w:after="120" w:line="240" w:lineRule="auto"/>
        <w:jc w:val="both"/>
        <w:rPr>
          <w:rFonts w:asciiTheme="minorHAnsi" w:hAnsiTheme="minorHAnsi"/>
          <w:sz w:val="24"/>
          <w:szCs w:val="24"/>
        </w:rPr>
      </w:pPr>
      <w:r w:rsidRPr="0002066A">
        <w:rPr>
          <w:rFonts w:asciiTheme="minorHAnsi" w:hAnsiTheme="minorHAnsi"/>
          <w:sz w:val="24"/>
          <w:szCs w:val="24"/>
        </w:rPr>
        <w:t>Όπως προκύπτει από το παραπάνω γράφημα το ΜΠΔΣ δεν ζητεί απλώς</w:t>
      </w:r>
      <w:r w:rsidR="00DD4AEB" w:rsidRPr="0002066A">
        <w:rPr>
          <w:rFonts w:asciiTheme="minorHAnsi" w:hAnsiTheme="minorHAnsi"/>
          <w:sz w:val="24"/>
          <w:szCs w:val="24"/>
        </w:rPr>
        <w:t>,</w:t>
      </w:r>
      <w:r w:rsidRPr="0002066A">
        <w:rPr>
          <w:rFonts w:asciiTheme="minorHAnsi" w:hAnsiTheme="minorHAnsi"/>
          <w:sz w:val="24"/>
          <w:szCs w:val="24"/>
        </w:rPr>
        <w:t xml:space="preserve"> από την ΤΑ</w:t>
      </w:r>
      <w:r w:rsidR="00DD4AEB" w:rsidRPr="0002066A">
        <w:rPr>
          <w:rFonts w:asciiTheme="minorHAnsi" w:hAnsiTheme="minorHAnsi"/>
          <w:sz w:val="24"/>
          <w:szCs w:val="24"/>
        </w:rPr>
        <w:t>,</w:t>
      </w:r>
      <w:r w:rsidRPr="0002066A">
        <w:rPr>
          <w:rFonts w:asciiTheme="minorHAnsi" w:hAnsiTheme="minorHAnsi"/>
          <w:sz w:val="24"/>
          <w:szCs w:val="24"/>
        </w:rPr>
        <w:t xml:space="preserve"> να προσφέρει πλεονάσματα στον Κρατικό Προϋπολογισμό αλλά </w:t>
      </w:r>
      <w:r w:rsidRPr="0002066A">
        <w:rPr>
          <w:rFonts w:asciiTheme="minorHAnsi" w:hAnsiTheme="minorHAnsi"/>
          <w:b/>
          <w:sz w:val="24"/>
          <w:szCs w:val="24"/>
        </w:rPr>
        <w:t xml:space="preserve">για </w:t>
      </w:r>
      <w:r w:rsidR="00DD4AEB" w:rsidRPr="0002066A">
        <w:rPr>
          <w:rFonts w:asciiTheme="minorHAnsi" w:hAnsiTheme="minorHAnsi"/>
          <w:b/>
          <w:sz w:val="24"/>
          <w:szCs w:val="24"/>
        </w:rPr>
        <w:t>το 2022</w:t>
      </w:r>
      <w:r w:rsidRPr="0002066A">
        <w:rPr>
          <w:rFonts w:asciiTheme="minorHAnsi" w:hAnsiTheme="minorHAnsi"/>
          <w:b/>
          <w:sz w:val="24"/>
          <w:szCs w:val="24"/>
        </w:rPr>
        <w:t xml:space="preserve"> προβλέπει το εξωπραγματικό ποσό των 661 εκατ. €</w:t>
      </w:r>
      <w:r w:rsidR="00DD4AEB" w:rsidRPr="0002066A">
        <w:rPr>
          <w:rFonts w:asciiTheme="minorHAnsi" w:hAnsiTheme="minorHAnsi"/>
          <w:b/>
          <w:sz w:val="24"/>
          <w:szCs w:val="24"/>
        </w:rPr>
        <w:t>,</w:t>
      </w:r>
      <w:r w:rsidRPr="0002066A">
        <w:rPr>
          <w:rFonts w:asciiTheme="minorHAnsi" w:hAnsiTheme="minorHAnsi"/>
          <w:b/>
          <w:sz w:val="24"/>
          <w:szCs w:val="24"/>
        </w:rPr>
        <w:t xml:space="preserve"> ως πλεόνασμα</w:t>
      </w:r>
      <w:r w:rsidR="00DD4AEB" w:rsidRPr="0002066A">
        <w:rPr>
          <w:rFonts w:asciiTheme="minorHAnsi" w:hAnsiTheme="minorHAnsi"/>
          <w:b/>
          <w:sz w:val="24"/>
          <w:szCs w:val="24"/>
        </w:rPr>
        <w:t>,</w:t>
      </w:r>
      <w:r w:rsidRPr="0002066A">
        <w:rPr>
          <w:rFonts w:asciiTheme="minorHAnsi" w:hAnsiTheme="minorHAnsi"/>
          <w:b/>
          <w:sz w:val="24"/>
          <w:szCs w:val="24"/>
        </w:rPr>
        <w:t xml:space="preserve"> </w:t>
      </w:r>
      <w:r w:rsidRPr="0002066A">
        <w:rPr>
          <w:rFonts w:asciiTheme="minorHAnsi" w:hAnsiTheme="minorHAnsi"/>
          <w:sz w:val="24"/>
          <w:szCs w:val="24"/>
        </w:rPr>
        <w:t xml:space="preserve">από τα τσεκουρωμένα </w:t>
      </w:r>
      <w:r w:rsidR="00192345" w:rsidRPr="0002066A">
        <w:rPr>
          <w:rFonts w:asciiTheme="minorHAnsi" w:hAnsiTheme="minorHAnsi"/>
          <w:sz w:val="24"/>
          <w:szCs w:val="24"/>
        </w:rPr>
        <w:t xml:space="preserve">κρατικά </w:t>
      </w:r>
      <w:r w:rsidRPr="0002066A">
        <w:rPr>
          <w:rFonts w:asciiTheme="minorHAnsi" w:hAnsiTheme="minorHAnsi"/>
          <w:sz w:val="24"/>
          <w:szCs w:val="24"/>
        </w:rPr>
        <w:t xml:space="preserve">έσοδα της ΤΑ. </w:t>
      </w:r>
    </w:p>
    <w:p w:rsidR="00192345" w:rsidRPr="0002066A" w:rsidRDefault="00192345" w:rsidP="0002066A">
      <w:pPr>
        <w:spacing w:before="120" w:after="120" w:line="240" w:lineRule="auto"/>
        <w:jc w:val="both"/>
        <w:rPr>
          <w:rFonts w:asciiTheme="minorHAnsi" w:hAnsiTheme="minorHAnsi"/>
          <w:b/>
          <w:sz w:val="24"/>
          <w:szCs w:val="24"/>
        </w:rPr>
      </w:pPr>
    </w:p>
    <w:p w:rsidR="00192345" w:rsidRPr="0002066A" w:rsidRDefault="00192345" w:rsidP="0002066A">
      <w:pPr>
        <w:spacing w:before="120" w:after="120" w:line="240" w:lineRule="auto"/>
        <w:jc w:val="both"/>
        <w:rPr>
          <w:rFonts w:asciiTheme="minorHAnsi" w:hAnsiTheme="minorHAnsi"/>
          <w:b/>
          <w:sz w:val="32"/>
          <w:szCs w:val="32"/>
        </w:rPr>
      </w:pPr>
      <w:r w:rsidRPr="0002066A">
        <w:rPr>
          <w:rFonts w:asciiTheme="minorHAnsi" w:hAnsiTheme="minorHAnsi"/>
          <w:b/>
          <w:sz w:val="32"/>
          <w:szCs w:val="32"/>
        </w:rPr>
        <w:t xml:space="preserve">Οι προβλεπόμενες δαπάνες. </w:t>
      </w:r>
    </w:p>
    <w:p w:rsidR="00192345" w:rsidRPr="0002066A" w:rsidRDefault="00192345" w:rsidP="0002066A">
      <w:pPr>
        <w:spacing w:before="120" w:after="120" w:line="240" w:lineRule="auto"/>
        <w:jc w:val="both"/>
        <w:rPr>
          <w:rFonts w:asciiTheme="minorHAnsi" w:hAnsiTheme="minorHAnsi"/>
          <w:sz w:val="24"/>
          <w:szCs w:val="24"/>
        </w:rPr>
      </w:pPr>
      <w:r w:rsidRPr="0002066A">
        <w:rPr>
          <w:rFonts w:asciiTheme="minorHAnsi" w:hAnsiTheme="minorHAnsi"/>
          <w:sz w:val="24"/>
          <w:szCs w:val="24"/>
        </w:rPr>
        <w:t>Θα μπορούσαν να παραχθούν πλεονάσματα εάν προβλεπόταν η δραστική μείωση των δαπανών των ΟΤΑ.</w:t>
      </w:r>
    </w:p>
    <w:p w:rsidR="00F74C5E" w:rsidRPr="0002066A" w:rsidRDefault="00F74C5E" w:rsidP="0002066A">
      <w:pPr>
        <w:spacing w:before="120" w:after="120" w:line="240" w:lineRule="auto"/>
        <w:jc w:val="both"/>
        <w:rPr>
          <w:rFonts w:asciiTheme="minorHAnsi" w:hAnsiTheme="minorHAnsi"/>
          <w:sz w:val="24"/>
          <w:szCs w:val="24"/>
        </w:rPr>
      </w:pPr>
    </w:p>
    <w:p w:rsidR="00192345" w:rsidRPr="0002066A" w:rsidRDefault="00192345" w:rsidP="0002066A">
      <w:pPr>
        <w:spacing w:before="120" w:after="120" w:line="240" w:lineRule="auto"/>
        <w:jc w:val="both"/>
        <w:rPr>
          <w:rFonts w:asciiTheme="minorHAnsi" w:hAnsiTheme="minorHAnsi"/>
          <w:sz w:val="24"/>
          <w:szCs w:val="24"/>
        </w:rPr>
      </w:pPr>
      <w:r w:rsidRPr="0002066A">
        <w:rPr>
          <w:rFonts w:asciiTheme="minorHAnsi" w:hAnsiTheme="minorHAnsi"/>
          <w:noProof/>
          <w:sz w:val="24"/>
          <w:szCs w:val="24"/>
          <w:lang w:eastAsia="el-GR"/>
        </w:rPr>
        <w:lastRenderedPageBreak/>
        <w:drawing>
          <wp:inline distT="0" distB="0" distL="0" distR="0">
            <wp:extent cx="4572000" cy="2743200"/>
            <wp:effectExtent l="76200" t="57150" r="171450" b="171450"/>
            <wp:docPr id="3" name="Γράφημα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4732A" w:rsidRPr="0002066A" w:rsidRDefault="00D4732A" w:rsidP="0002066A">
      <w:pPr>
        <w:spacing w:before="120" w:after="120" w:line="240" w:lineRule="auto"/>
        <w:jc w:val="both"/>
        <w:rPr>
          <w:rFonts w:asciiTheme="minorHAnsi" w:hAnsiTheme="minorHAnsi"/>
          <w:sz w:val="24"/>
          <w:szCs w:val="24"/>
        </w:rPr>
      </w:pPr>
    </w:p>
    <w:p w:rsidR="00D4732A" w:rsidRPr="0002066A" w:rsidRDefault="00D4732A" w:rsidP="0002066A">
      <w:pPr>
        <w:spacing w:before="120" w:after="120" w:line="240" w:lineRule="auto"/>
        <w:jc w:val="both"/>
        <w:rPr>
          <w:rFonts w:asciiTheme="minorHAnsi" w:hAnsiTheme="minorHAnsi"/>
          <w:sz w:val="24"/>
          <w:szCs w:val="24"/>
        </w:rPr>
      </w:pPr>
      <w:r w:rsidRPr="0002066A">
        <w:rPr>
          <w:rFonts w:asciiTheme="minorHAnsi" w:hAnsiTheme="minorHAnsi"/>
          <w:sz w:val="24"/>
          <w:szCs w:val="24"/>
        </w:rPr>
        <w:t xml:space="preserve">Όπως προκύπτει από το παραπάνω γράφημα οι συνολικές δαπάνες της ΤΑ </w:t>
      </w:r>
      <w:r w:rsidRPr="0002066A">
        <w:rPr>
          <w:rFonts w:asciiTheme="minorHAnsi" w:hAnsiTheme="minorHAnsi"/>
          <w:b/>
          <w:sz w:val="24"/>
          <w:szCs w:val="24"/>
        </w:rPr>
        <w:t>αναμένεται να αυξηθούν, το 2022, κατά 135 εκατ. €,</w:t>
      </w:r>
      <w:r w:rsidRPr="0002066A">
        <w:rPr>
          <w:rFonts w:asciiTheme="minorHAnsi" w:hAnsiTheme="minorHAnsi"/>
          <w:sz w:val="24"/>
          <w:szCs w:val="24"/>
        </w:rPr>
        <w:t xml:space="preserve"> σε σχέση με το 2016.</w:t>
      </w:r>
      <w:r w:rsidR="00DD4AEB" w:rsidRPr="0002066A">
        <w:rPr>
          <w:rFonts w:asciiTheme="minorHAnsi" w:hAnsiTheme="minorHAnsi"/>
          <w:sz w:val="24"/>
          <w:szCs w:val="24"/>
        </w:rPr>
        <w:t xml:space="preserve"> Άρα ούτε από την άποψη των δαπανών δικαιολογούνται τα τεράστια αυτά πλεονάσματα. </w:t>
      </w:r>
      <w:r w:rsidRPr="0002066A">
        <w:rPr>
          <w:rFonts w:asciiTheme="minorHAnsi" w:hAnsiTheme="minorHAnsi"/>
          <w:sz w:val="24"/>
          <w:szCs w:val="24"/>
        </w:rPr>
        <w:t xml:space="preserve"> </w:t>
      </w:r>
    </w:p>
    <w:p w:rsidR="00280C95" w:rsidRPr="0002066A" w:rsidRDefault="00280C95" w:rsidP="0002066A">
      <w:pPr>
        <w:spacing w:before="120" w:after="120" w:line="240" w:lineRule="auto"/>
        <w:jc w:val="both"/>
        <w:rPr>
          <w:rFonts w:asciiTheme="minorHAnsi" w:hAnsiTheme="minorHAnsi"/>
          <w:b/>
          <w:sz w:val="24"/>
          <w:szCs w:val="24"/>
        </w:rPr>
      </w:pPr>
    </w:p>
    <w:p w:rsidR="00D4732A" w:rsidRPr="0002066A" w:rsidRDefault="00D4732A" w:rsidP="0002066A">
      <w:pPr>
        <w:spacing w:before="120" w:after="120" w:line="240" w:lineRule="auto"/>
        <w:jc w:val="both"/>
        <w:rPr>
          <w:rFonts w:asciiTheme="minorHAnsi" w:hAnsiTheme="minorHAnsi"/>
          <w:b/>
          <w:sz w:val="32"/>
          <w:szCs w:val="32"/>
        </w:rPr>
      </w:pPr>
      <w:r w:rsidRPr="0002066A">
        <w:rPr>
          <w:rFonts w:asciiTheme="minorHAnsi" w:hAnsiTheme="minorHAnsi"/>
          <w:b/>
          <w:sz w:val="32"/>
          <w:szCs w:val="32"/>
        </w:rPr>
        <w:t>Τα Τέλη και οι Φόροι των δήμων.</w:t>
      </w:r>
    </w:p>
    <w:p w:rsidR="00280C95" w:rsidRPr="0002066A" w:rsidRDefault="00D4732A" w:rsidP="0002066A">
      <w:pPr>
        <w:spacing w:before="120" w:after="120" w:line="240" w:lineRule="auto"/>
        <w:jc w:val="both"/>
        <w:rPr>
          <w:rFonts w:asciiTheme="minorHAnsi" w:hAnsiTheme="minorHAnsi"/>
          <w:sz w:val="24"/>
          <w:szCs w:val="24"/>
        </w:rPr>
      </w:pPr>
      <w:r w:rsidRPr="0002066A">
        <w:rPr>
          <w:rFonts w:asciiTheme="minorHAnsi" w:hAnsiTheme="minorHAnsi"/>
          <w:sz w:val="24"/>
          <w:szCs w:val="24"/>
        </w:rPr>
        <w:t xml:space="preserve">Αφού μειώνονται οι επιχορηγήσεις και αυξάνονται </w:t>
      </w:r>
      <w:r w:rsidR="00DD4AEB" w:rsidRPr="0002066A">
        <w:rPr>
          <w:rFonts w:asciiTheme="minorHAnsi" w:hAnsiTheme="minorHAnsi"/>
          <w:sz w:val="24"/>
          <w:szCs w:val="24"/>
        </w:rPr>
        <w:t xml:space="preserve">οι δαπάνες </w:t>
      </w:r>
      <w:r w:rsidRPr="0002066A">
        <w:rPr>
          <w:rFonts w:asciiTheme="minorHAnsi" w:hAnsiTheme="minorHAnsi"/>
          <w:sz w:val="24"/>
          <w:szCs w:val="24"/>
        </w:rPr>
        <w:t xml:space="preserve">πως μπορεί να δικαιολογηθούν τα τεράστια πλεονάσματα που καλείται να προσφέρει η ΤΑ;   </w:t>
      </w:r>
    </w:p>
    <w:p w:rsidR="00D4732A" w:rsidRPr="0002066A" w:rsidRDefault="00D4732A" w:rsidP="0002066A">
      <w:pPr>
        <w:spacing w:before="120" w:after="120" w:line="240" w:lineRule="auto"/>
        <w:jc w:val="both"/>
        <w:rPr>
          <w:rFonts w:asciiTheme="minorHAnsi" w:hAnsiTheme="minorHAnsi"/>
          <w:sz w:val="24"/>
          <w:szCs w:val="24"/>
        </w:rPr>
      </w:pPr>
      <w:r w:rsidRPr="0002066A">
        <w:rPr>
          <w:rFonts w:asciiTheme="minorHAnsi" w:hAnsiTheme="minorHAnsi"/>
          <w:sz w:val="24"/>
          <w:szCs w:val="24"/>
        </w:rPr>
        <w:t xml:space="preserve">Με την αύξηση των εσόδων τους από Τέλη- Δικαιώματα και Φόρους –Εισφορές. </w:t>
      </w:r>
    </w:p>
    <w:p w:rsidR="00D4732A" w:rsidRPr="0002066A" w:rsidRDefault="00D4732A" w:rsidP="0002066A">
      <w:pPr>
        <w:spacing w:before="120" w:after="120" w:line="240" w:lineRule="auto"/>
        <w:jc w:val="both"/>
        <w:rPr>
          <w:rFonts w:asciiTheme="minorHAnsi" w:hAnsiTheme="minorHAnsi"/>
          <w:sz w:val="24"/>
          <w:szCs w:val="24"/>
        </w:rPr>
      </w:pPr>
    </w:p>
    <w:p w:rsidR="00D4732A" w:rsidRPr="0002066A" w:rsidRDefault="00D4732A" w:rsidP="0002066A">
      <w:pPr>
        <w:spacing w:before="120" w:after="120" w:line="240" w:lineRule="auto"/>
        <w:jc w:val="both"/>
        <w:rPr>
          <w:rFonts w:asciiTheme="minorHAnsi" w:hAnsiTheme="minorHAnsi"/>
          <w:sz w:val="24"/>
          <w:szCs w:val="24"/>
        </w:rPr>
      </w:pPr>
      <w:r w:rsidRPr="0002066A">
        <w:rPr>
          <w:rFonts w:asciiTheme="minorHAnsi" w:hAnsiTheme="minorHAnsi"/>
          <w:noProof/>
          <w:sz w:val="24"/>
          <w:szCs w:val="24"/>
          <w:lang w:eastAsia="el-GR"/>
        </w:rPr>
        <w:lastRenderedPageBreak/>
        <w:drawing>
          <wp:inline distT="0" distB="0" distL="0" distR="0">
            <wp:extent cx="4572000" cy="2743200"/>
            <wp:effectExtent l="76200" t="76200" r="228600" b="228600"/>
            <wp:docPr id="4" name="Γράφημα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4732A" w:rsidRPr="0002066A" w:rsidRDefault="00D4732A" w:rsidP="0002066A">
      <w:pPr>
        <w:spacing w:before="120" w:after="120" w:line="240" w:lineRule="auto"/>
        <w:jc w:val="both"/>
        <w:rPr>
          <w:rFonts w:asciiTheme="minorHAnsi" w:hAnsiTheme="minorHAnsi"/>
          <w:sz w:val="24"/>
          <w:szCs w:val="24"/>
        </w:rPr>
      </w:pPr>
    </w:p>
    <w:p w:rsidR="00D4732A" w:rsidRPr="0002066A" w:rsidRDefault="00D4732A" w:rsidP="0002066A">
      <w:pPr>
        <w:spacing w:before="120" w:after="120" w:line="240" w:lineRule="auto"/>
        <w:jc w:val="both"/>
        <w:rPr>
          <w:rFonts w:asciiTheme="minorHAnsi" w:hAnsiTheme="minorHAnsi"/>
          <w:sz w:val="24"/>
          <w:szCs w:val="24"/>
        </w:rPr>
      </w:pPr>
      <w:r w:rsidRPr="0002066A">
        <w:rPr>
          <w:rFonts w:asciiTheme="minorHAnsi" w:hAnsiTheme="minorHAnsi"/>
          <w:sz w:val="24"/>
          <w:szCs w:val="24"/>
        </w:rPr>
        <w:t xml:space="preserve">Το ΜΠΔΣ προβλέπει ότι τα εν γένει φορολογικά έσοδα των δήμων, το 2022 θα είναι κατά 265 εκατ. € μεγαλύτερα από ότι το 2016.  </w:t>
      </w:r>
    </w:p>
    <w:p w:rsidR="00D4732A" w:rsidRPr="0002066A" w:rsidRDefault="00D4732A" w:rsidP="0002066A">
      <w:pPr>
        <w:spacing w:before="120" w:after="120" w:line="240" w:lineRule="auto"/>
        <w:jc w:val="both"/>
        <w:rPr>
          <w:rFonts w:asciiTheme="minorHAnsi" w:hAnsiTheme="minorHAnsi"/>
          <w:sz w:val="24"/>
          <w:szCs w:val="24"/>
        </w:rPr>
      </w:pPr>
      <w:r w:rsidRPr="0002066A">
        <w:rPr>
          <w:rFonts w:asciiTheme="minorHAnsi" w:hAnsiTheme="minorHAnsi"/>
          <w:sz w:val="24"/>
          <w:szCs w:val="24"/>
        </w:rPr>
        <w:t xml:space="preserve"> </w:t>
      </w:r>
      <w:r w:rsidR="00DD4AEB" w:rsidRPr="0002066A">
        <w:rPr>
          <w:rFonts w:asciiTheme="minorHAnsi" w:hAnsiTheme="minorHAnsi"/>
          <w:sz w:val="24"/>
          <w:szCs w:val="24"/>
        </w:rPr>
        <w:t>Η σ</w:t>
      </w:r>
      <w:r w:rsidRPr="0002066A">
        <w:rPr>
          <w:rFonts w:asciiTheme="minorHAnsi" w:hAnsiTheme="minorHAnsi"/>
          <w:sz w:val="24"/>
          <w:szCs w:val="24"/>
        </w:rPr>
        <w:t>υγκεκριμένη πρόβλεψη τίθεται</w:t>
      </w:r>
      <w:r w:rsidR="00443A14" w:rsidRPr="0002066A">
        <w:rPr>
          <w:rFonts w:asciiTheme="minorHAnsi" w:hAnsiTheme="minorHAnsi"/>
          <w:sz w:val="24"/>
          <w:szCs w:val="24"/>
        </w:rPr>
        <w:t>,</w:t>
      </w:r>
      <w:r w:rsidRPr="0002066A">
        <w:rPr>
          <w:rFonts w:asciiTheme="minorHAnsi" w:hAnsiTheme="minorHAnsi"/>
          <w:sz w:val="24"/>
          <w:szCs w:val="24"/>
        </w:rPr>
        <w:t xml:space="preserve"> εκ των πραγμάτων</w:t>
      </w:r>
      <w:r w:rsidR="00443A14" w:rsidRPr="0002066A">
        <w:rPr>
          <w:rFonts w:asciiTheme="minorHAnsi" w:hAnsiTheme="minorHAnsi"/>
          <w:sz w:val="24"/>
          <w:szCs w:val="24"/>
        </w:rPr>
        <w:t>,</w:t>
      </w:r>
      <w:r w:rsidRPr="0002066A">
        <w:rPr>
          <w:rFonts w:asciiTheme="minorHAnsi" w:hAnsiTheme="minorHAnsi"/>
          <w:sz w:val="24"/>
          <w:szCs w:val="24"/>
        </w:rPr>
        <w:t xml:space="preserve"> σε αμφισβήτηση εάν υπολογίσουμε ότι</w:t>
      </w:r>
      <w:r w:rsidR="00443A14" w:rsidRPr="0002066A">
        <w:rPr>
          <w:rFonts w:asciiTheme="minorHAnsi" w:hAnsiTheme="minorHAnsi"/>
          <w:sz w:val="24"/>
          <w:szCs w:val="24"/>
        </w:rPr>
        <w:t>,</w:t>
      </w:r>
      <w:r w:rsidRPr="0002066A">
        <w:rPr>
          <w:rFonts w:asciiTheme="minorHAnsi" w:hAnsiTheme="minorHAnsi"/>
          <w:sz w:val="24"/>
          <w:szCs w:val="24"/>
        </w:rPr>
        <w:t xml:space="preserve"> σε</w:t>
      </w:r>
      <w:r w:rsidR="00443A14" w:rsidRPr="0002066A">
        <w:rPr>
          <w:rFonts w:asciiTheme="minorHAnsi" w:hAnsiTheme="minorHAnsi"/>
          <w:sz w:val="24"/>
          <w:szCs w:val="24"/>
        </w:rPr>
        <w:t xml:space="preserve"> ένα λαό που έχει εξαντλήσει</w:t>
      </w:r>
      <w:r w:rsidRPr="0002066A">
        <w:rPr>
          <w:rFonts w:asciiTheme="minorHAnsi" w:hAnsiTheme="minorHAnsi"/>
          <w:sz w:val="24"/>
          <w:szCs w:val="24"/>
        </w:rPr>
        <w:t xml:space="preserve"> </w:t>
      </w:r>
      <w:r w:rsidR="00443A14" w:rsidRPr="0002066A">
        <w:rPr>
          <w:rFonts w:asciiTheme="minorHAnsi" w:hAnsiTheme="minorHAnsi"/>
          <w:sz w:val="24"/>
          <w:szCs w:val="24"/>
        </w:rPr>
        <w:t xml:space="preserve">προ πολλού </w:t>
      </w:r>
      <w:r w:rsidRPr="0002066A">
        <w:rPr>
          <w:rFonts w:asciiTheme="minorHAnsi" w:hAnsiTheme="minorHAnsi"/>
          <w:sz w:val="24"/>
          <w:szCs w:val="24"/>
        </w:rPr>
        <w:t>τη φοροδοτική του ικανότητα</w:t>
      </w:r>
      <w:r w:rsidR="00443A14" w:rsidRPr="0002066A">
        <w:rPr>
          <w:rFonts w:asciiTheme="minorHAnsi" w:hAnsiTheme="minorHAnsi"/>
          <w:sz w:val="24"/>
          <w:szCs w:val="24"/>
        </w:rPr>
        <w:t>,</w:t>
      </w:r>
      <w:r w:rsidRPr="0002066A">
        <w:rPr>
          <w:rFonts w:asciiTheme="minorHAnsi" w:hAnsiTheme="minorHAnsi"/>
          <w:sz w:val="24"/>
          <w:szCs w:val="24"/>
        </w:rPr>
        <w:t xml:space="preserve"> το ΜΠΔΣ </w:t>
      </w:r>
      <w:r w:rsidR="00443A14" w:rsidRPr="0002066A">
        <w:rPr>
          <w:rFonts w:asciiTheme="minorHAnsi" w:hAnsiTheme="minorHAnsi"/>
          <w:sz w:val="24"/>
          <w:szCs w:val="24"/>
        </w:rPr>
        <w:t xml:space="preserve">επιβάλλει την περίοδο 2016-2022, ως κεντρική κυβέρνηση, 4,6 δις € </w:t>
      </w:r>
      <w:r w:rsidR="00DD4AEB" w:rsidRPr="0002066A">
        <w:rPr>
          <w:rFonts w:asciiTheme="minorHAnsi" w:hAnsiTheme="minorHAnsi"/>
          <w:sz w:val="24"/>
          <w:szCs w:val="24"/>
        </w:rPr>
        <w:t xml:space="preserve">νέα φορολογικά βάρη </w:t>
      </w:r>
      <w:r w:rsidR="00443A14" w:rsidRPr="0002066A">
        <w:rPr>
          <w:rFonts w:asciiTheme="minorHAnsi" w:hAnsiTheme="minorHAnsi"/>
          <w:sz w:val="24"/>
          <w:szCs w:val="24"/>
        </w:rPr>
        <w:t>… Σ</w:t>
      </w:r>
      <w:r w:rsidR="00925936">
        <w:rPr>
          <w:rFonts w:asciiTheme="minorHAnsi" w:hAnsiTheme="minorHAnsi"/>
          <w:sz w:val="24"/>
          <w:szCs w:val="24"/>
        </w:rPr>
        <w:t xml:space="preserve">ε αυτήν </w:t>
      </w:r>
      <w:r w:rsidR="00443A14" w:rsidRPr="0002066A">
        <w:rPr>
          <w:rFonts w:asciiTheme="minorHAnsi" w:hAnsiTheme="minorHAnsi"/>
          <w:sz w:val="24"/>
          <w:szCs w:val="24"/>
        </w:rPr>
        <w:t xml:space="preserve">την προβλεπόμενη </w:t>
      </w:r>
      <w:proofErr w:type="spellStart"/>
      <w:r w:rsidR="00443A14" w:rsidRPr="0002066A">
        <w:rPr>
          <w:rFonts w:asciiTheme="minorHAnsi" w:hAnsiTheme="minorHAnsi"/>
          <w:sz w:val="24"/>
          <w:szCs w:val="24"/>
        </w:rPr>
        <w:t>φοροκαταιγίδα</w:t>
      </w:r>
      <w:proofErr w:type="spellEnd"/>
      <w:r w:rsidR="00443A14" w:rsidRPr="0002066A">
        <w:rPr>
          <w:rFonts w:asciiTheme="minorHAnsi" w:hAnsiTheme="minorHAnsi"/>
          <w:sz w:val="24"/>
          <w:szCs w:val="24"/>
        </w:rPr>
        <w:t xml:space="preserve"> δεν συμπεριλαμβάνονται τα αναμενόμενα φορολογικά έσοδα των δήμων. </w:t>
      </w:r>
    </w:p>
    <w:p w:rsidR="00A60716" w:rsidRPr="0002066A" w:rsidRDefault="00A60716" w:rsidP="0002066A">
      <w:pPr>
        <w:spacing w:before="120" w:after="120" w:line="240" w:lineRule="auto"/>
        <w:jc w:val="both"/>
        <w:rPr>
          <w:rFonts w:asciiTheme="minorHAnsi" w:hAnsiTheme="minorHAnsi"/>
          <w:sz w:val="24"/>
          <w:szCs w:val="24"/>
        </w:rPr>
      </w:pPr>
    </w:p>
    <w:p w:rsidR="00A60716" w:rsidRPr="0002066A" w:rsidRDefault="00A60716" w:rsidP="0002066A">
      <w:pPr>
        <w:spacing w:before="120" w:after="120" w:line="240" w:lineRule="auto"/>
        <w:rPr>
          <w:rFonts w:asciiTheme="minorHAnsi" w:hAnsiTheme="minorHAnsi"/>
          <w:sz w:val="24"/>
          <w:szCs w:val="24"/>
        </w:rPr>
      </w:pPr>
      <w:r w:rsidRPr="0002066A">
        <w:rPr>
          <w:rFonts w:asciiTheme="minorHAnsi" w:hAnsiTheme="minorHAnsi"/>
          <w:b/>
          <w:sz w:val="32"/>
          <w:szCs w:val="32"/>
        </w:rPr>
        <w:t>Η απογύμνωση της ΤΑ από ανθρώπινους πόρους</w:t>
      </w:r>
      <w:r w:rsidRPr="0002066A">
        <w:rPr>
          <w:rFonts w:asciiTheme="minorHAnsi" w:hAnsiTheme="minorHAnsi"/>
          <w:b/>
          <w:sz w:val="24"/>
          <w:szCs w:val="24"/>
        </w:rPr>
        <w:t xml:space="preserve"> </w:t>
      </w:r>
      <w:r w:rsidRPr="0002066A">
        <w:rPr>
          <w:rFonts w:asciiTheme="minorHAnsi" w:hAnsiTheme="minorHAnsi"/>
          <w:noProof/>
          <w:sz w:val="24"/>
          <w:szCs w:val="24"/>
          <w:lang w:eastAsia="el-GR"/>
        </w:rPr>
        <w:drawing>
          <wp:inline distT="0" distB="0" distL="0" distR="0">
            <wp:extent cx="4469363" cy="2957804"/>
            <wp:effectExtent l="95250" t="95250" r="274320" b="262255"/>
            <wp:docPr id="5" name="Γράφημα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0716" w:rsidRPr="0002066A" w:rsidRDefault="00A60716" w:rsidP="0002066A">
      <w:pPr>
        <w:spacing w:before="120" w:after="120" w:line="240" w:lineRule="auto"/>
        <w:jc w:val="both"/>
        <w:rPr>
          <w:rFonts w:asciiTheme="minorHAnsi" w:hAnsiTheme="minorHAnsi"/>
          <w:sz w:val="24"/>
          <w:szCs w:val="24"/>
        </w:rPr>
      </w:pPr>
    </w:p>
    <w:p w:rsidR="00A60716" w:rsidRPr="0002066A" w:rsidRDefault="00A60716" w:rsidP="0002066A">
      <w:pPr>
        <w:spacing w:before="120" w:after="120" w:line="240" w:lineRule="auto"/>
        <w:jc w:val="both"/>
        <w:rPr>
          <w:rFonts w:asciiTheme="minorHAnsi" w:hAnsiTheme="minorHAnsi"/>
          <w:sz w:val="24"/>
          <w:szCs w:val="24"/>
        </w:rPr>
      </w:pPr>
      <w:r w:rsidRPr="0002066A">
        <w:rPr>
          <w:rFonts w:asciiTheme="minorHAnsi" w:hAnsiTheme="minorHAnsi"/>
          <w:sz w:val="24"/>
          <w:szCs w:val="24"/>
        </w:rPr>
        <w:t xml:space="preserve">Στο ΜΠΔΣ προβλέπεται ότι από φέτος μέχρι το τέλος του προγράμματος θα έχουν αποχωρήσει από την ΤΑ συνολικά </w:t>
      </w:r>
      <w:r w:rsidR="004169FC" w:rsidRPr="0002066A">
        <w:rPr>
          <w:rFonts w:asciiTheme="minorHAnsi" w:hAnsiTheme="minorHAnsi"/>
          <w:sz w:val="24"/>
          <w:szCs w:val="24"/>
        </w:rPr>
        <w:t xml:space="preserve">8.942 εργαζόμενοι και θα έχουν προσληφθεί 7.286. Παρά τις τεράστιες ανάγκες, το 2022 η ΤΑ θα είναι φτωχότερη κατά 1. 656 εργαζομένους της.  </w:t>
      </w:r>
    </w:p>
    <w:p w:rsidR="00F97E33" w:rsidRPr="0002066A" w:rsidRDefault="00F97E33" w:rsidP="0002066A">
      <w:pPr>
        <w:spacing w:before="120" w:after="120" w:line="240" w:lineRule="auto"/>
        <w:jc w:val="both"/>
        <w:rPr>
          <w:rFonts w:asciiTheme="minorHAnsi" w:hAnsiTheme="minorHAnsi"/>
          <w:sz w:val="24"/>
          <w:szCs w:val="24"/>
        </w:rPr>
      </w:pPr>
      <w:r w:rsidRPr="0002066A">
        <w:rPr>
          <w:rFonts w:asciiTheme="minorHAnsi" w:hAnsiTheme="minorHAnsi"/>
          <w:sz w:val="24"/>
          <w:szCs w:val="24"/>
        </w:rPr>
        <w:t xml:space="preserve">Χαρακτηριστικό της προχειρότητας σύνταξης του ΜΠΔΣ είναι ότι ενώ προβλέπεται </w:t>
      </w:r>
      <w:r w:rsidRPr="0002066A">
        <w:rPr>
          <w:rFonts w:asciiTheme="minorHAnsi" w:hAnsiTheme="minorHAnsi"/>
          <w:b/>
          <w:sz w:val="24"/>
          <w:szCs w:val="24"/>
        </w:rPr>
        <w:t>μείωση προσωπικού</w:t>
      </w:r>
      <w:r w:rsidR="00DD4AEB" w:rsidRPr="0002066A">
        <w:rPr>
          <w:rFonts w:asciiTheme="minorHAnsi" w:hAnsiTheme="minorHAnsi"/>
          <w:b/>
          <w:sz w:val="24"/>
          <w:szCs w:val="24"/>
        </w:rPr>
        <w:t xml:space="preserve">, </w:t>
      </w:r>
      <w:r w:rsidR="00DD4AEB" w:rsidRPr="0002066A">
        <w:rPr>
          <w:rFonts w:asciiTheme="minorHAnsi" w:hAnsiTheme="minorHAnsi"/>
          <w:sz w:val="24"/>
          <w:szCs w:val="24"/>
        </w:rPr>
        <w:t>οι αντικαταστάσεις αποχωρήσεων- προσλήψεων έχουν, κατά τεκμήριο, μικρότερο κόστος</w:t>
      </w:r>
      <w:r w:rsidRPr="0002066A">
        <w:rPr>
          <w:rFonts w:asciiTheme="minorHAnsi" w:hAnsiTheme="minorHAnsi"/>
          <w:sz w:val="24"/>
          <w:szCs w:val="24"/>
        </w:rPr>
        <w:t xml:space="preserve"> και δεν προϋπολογίζονται μισθολογικές αυξήσεις</w:t>
      </w:r>
      <w:r w:rsidR="00DD4AEB" w:rsidRPr="0002066A">
        <w:rPr>
          <w:rFonts w:asciiTheme="minorHAnsi" w:hAnsiTheme="minorHAnsi"/>
          <w:sz w:val="24"/>
          <w:szCs w:val="24"/>
        </w:rPr>
        <w:t>,</w:t>
      </w:r>
      <w:r w:rsidRPr="0002066A">
        <w:rPr>
          <w:rFonts w:asciiTheme="minorHAnsi" w:hAnsiTheme="minorHAnsi"/>
          <w:sz w:val="24"/>
          <w:szCs w:val="24"/>
        </w:rPr>
        <w:t xml:space="preserve"> </w:t>
      </w:r>
      <w:r w:rsidRPr="0002066A">
        <w:rPr>
          <w:rFonts w:asciiTheme="minorHAnsi" w:hAnsiTheme="minorHAnsi"/>
          <w:b/>
          <w:sz w:val="24"/>
          <w:szCs w:val="24"/>
        </w:rPr>
        <w:t xml:space="preserve">το </w:t>
      </w:r>
      <w:r w:rsidR="00DD4AEB" w:rsidRPr="0002066A">
        <w:rPr>
          <w:rFonts w:asciiTheme="minorHAnsi" w:hAnsiTheme="minorHAnsi"/>
          <w:b/>
          <w:sz w:val="24"/>
          <w:szCs w:val="24"/>
        </w:rPr>
        <w:t xml:space="preserve">συνολικό </w:t>
      </w:r>
      <w:r w:rsidRPr="0002066A">
        <w:rPr>
          <w:rFonts w:asciiTheme="minorHAnsi" w:hAnsiTheme="minorHAnsi"/>
          <w:b/>
          <w:sz w:val="24"/>
          <w:szCs w:val="24"/>
        </w:rPr>
        <w:t>κόστος μισθοδοσίας</w:t>
      </w:r>
      <w:r w:rsidR="00DD4AEB" w:rsidRPr="0002066A">
        <w:rPr>
          <w:rFonts w:asciiTheme="minorHAnsi" w:hAnsiTheme="minorHAnsi"/>
          <w:b/>
          <w:sz w:val="24"/>
          <w:szCs w:val="24"/>
        </w:rPr>
        <w:t xml:space="preserve"> της ΤΑ προβλέπεται,</w:t>
      </w:r>
      <w:r w:rsidRPr="0002066A">
        <w:rPr>
          <w:rFonts w:asciiTheme="minorHAnsi" w:hAnsiTheme="minorHAnsi"/>
          <w:b/>
          <w:sz w:val="24"/>
          <w:szCs w:val="24"/>
        </w:rPr>
        <w:t xml:space="preserve"> το 2022</w:t>
      </w:r>
      <w:r w:rsidR="00DD4AEB" w:rsidRPr="0002066A">
        <w:rPr>
          <w:rFonts w:asciiTheme="minorHAnsi" w:hAnsiTheme="minorHAnsi"/>
          <w:b/>
          <w:sz w:val="24"/>
          <w:szCs w:val="24"/>
        </w:rPr>
        <w:t>,</w:t>
      </w:r>
      <w:r w:rsidRPr="0002066A">
        <w:rPr>
          <w:rFonts w:asciiTheme="minorHAnsi" w:hAnsiTheme="minorHAnsi"/>
          <w:b/>
          <w:sz w:val="24"/>
          <w:szCs w:val="24"/>
        </w:rPr>
        <w:t xml:space="preserve"> </w:t>
      </w:r>
      <w:r w:rsidR="00DD4AEB" w:rsidRPr="0002066A">
        <w:rPr>
          <w:rFonts w:asciiTheme="minorHAnsi" w:hAnsiTheme="minorHAnsi"/>
          <w:b/>
          <w:sz w:val="24"/>
          <w:szCs w:val="24"/>
        </w:rPr>
        <w:t xml:space="preserve">να </w:t>
      </w:r>
      <w:r w:rsidRPr="0002066A">
        <w:rPr>
          <w:rFonts w:asciiTheme="minorHAnsi" w:hAnsiTheme="minorHAnsi"/>
          <w:b/>
          <w:sz w:val="24"/>
          <w:szCs w:val="24"/>
        </w:rPr>
        <w:t xml:space="preserve">είναι </w:t>
      </w:r>
      <w:r w:rsidR="00B32050" w:rsidRPr="0002066A">
        <w:rPr>
          <w:rFonts w:asciiTheme="minorHAnsi" w:hAnsiTheme="minorHAnsi"/>
          <w:b/>
          <w:sz w:val="24"/>
          <w:szCs w:val="24"/>
        </w:rPr>
        <w:t xml:space="preserve">αυξημένο </w:t>
      </w:r>
      <w:r w:rsidRPr="0002066A">
        <w:rPr>
          <w:rFonts w:asciiTheme="minorHAnsi" w:hAnsiTheme="minorHAnsi"/>
          <w:sz w:val="24"/>
          <w:szCs w:val="24"/>
        </w:rPr>
        <w:t xml:space="preserve">κατά 222 εκατ. €. </w:t>
      </w:r>
    </w:p>
    <w:p w:rsidR="00E35CCF" w:rsidRPr="0002066A" w:rsidRDefault="00E35CCF" w:rsidP="0002066A">
      <w:pPr>
        <w:spacing w:before="120" w:after="120" w:line="240" w:lineRule="auto"/>
        <w:jc w:val="both"/>
        <w:rPr>
          <w:rFonts w:asciiTheme="minorHAnsi" w:hAnsiTheme="minorHAnsi"/>
          <w:b/>
          <w:sz w:val="24"/>
          <w:szCs w:val="24"/>
        </w:rPr>
      </w:pPr>
    </w:p>
    <w:p w:rsidR="00280C95" w:rsidRPr="0002066A" w:rsidRDefault="00E35CCF" w:rsidP="0002066A">
      <w:pPr>
        <w:spacing w:before="120" w:after="120" w:line="240" w:lineRule="auto"/>
        <w:jc w:val="both"/>
        <w:rPr>
          <w:rFonts w:asciiTheme="minorHAnsi" w:hAnsiTheme="minorHAnsi"/>
          <w:b/>
          <w:sz w:val="32"/>
          <w:szCs w:val="32"/>
        </w:rPr>
      </w:pPr>
      <w:r w:rsidRPr="0002066A">
        <w:rPr>
          <w:rFonts w:asciiTheme="minorHAnsi" w:hAnsiTheme="minorHAnsi"/>
          <w:b/>
          <w:sz w:val="32"/>
          <w:szCs w:val="32"/>
        </w:rPr>
        <w:t xml:space="preserve">Η κοινωνική πολιτική </w:t>
      </w:r>
    </w:p>
    <w:p w:rsidR="00E35CCF" w:rsidRPr="0002066A" w:rsidRDefault="00E35CCF" w:rsidP="0002066A">
      <w:pPr>
        <w:spacing w:before="120" w:after="120" w:line="240" w:lineRule="auto"/>
        <w:jc w:val="both"/>
        <w:rPr>
          <w:rFonts w:asciiTheme="minorHAnsi" w:hAnsiTheme="minorHAnsi"/>
          <w:sz w:val="24"/>
          <w:szCs w:val="24"/>
        </w:rPr>
      </w:pPr>
      <w:r w:rsidRPr="0002066A">
        <w:rPr>
          <w:rFonts w:asciiTheme="minorHAnsi" w:hAnsiTheme="minorHAnsi"/>
          <w:sz w:val="24"/>
          <w:szCs w:val="24"/>
        </w:rPr>
        <w:t>Ένα χαρακτηριστικό παράδειγμα του ότι η κυβέρνηση δεν έλαβε κανένα μάθημα από την κρίση αλλά ούτε και από την Ευρωπαϊκή εμπειρία</w:t>
      </w:r>
      <w:r w:rsidR="00951D8A" w:rsidRPr="0002066A">
        <w:rPr>
          <w:rFonts w:asciiTheme="minorHAnsi" w:hAnsiTheme="minorHAnsi"/>
          <w:sz w:val="24"/>
          <w:szCs w:val="24"/>
        </w:rPr>
        <w:t>,</w:t>
      </w:r>
      <w:r w:rsidRPr="0002066A">
        <w:rPr>
          <w:rFonts w:asciiTheme="minorHAnsi" w:hAnsiTheme="minorHAnsi"/>
          <w:sz w:val="24"/>
          <w:szCs w:val="24"/>
        </w:rPr>
        <w:t xml:space="preserve"> είναι η προσπάθεια </w:t>
      </w:r>
      <w:proofErr w:type="spellStart"/>
      <w:r w:rsidRPr="0002066A">
        <w:rPr>
          <w:rFonts w:asciiTheme="minorHAnsi" w:hAnsiTheme="minorHAnsi"/>
          <w:sz w:val="24"/>
          <w:szCs w:val="24"/>
        </w:rPr>
        <w:t>επανασυγκέντρωσης</w:t>
      </w:r>
      <w:proofErr w:type="spellEnd"/>
      <w:r w:rsidRPr="0002066A">
        <w:rPr>
          <w:rFonts w:asciiTheme="minorHAnsi" w:hAnsiTheme="minorHAnsi"/>
          <w:sz w:val="24"/>
          <w:szCs w:val="24"/>
        </w:rPr>
        <w:t xml:space="preserve"> των κοινωνικών δαπανών. </w:t>
      </w:r>
    </w:p>
    <w:p w:rsidR="003D1901" w:rsidRPr="0002066A" w:rsidRDefault="003D1901" w:rsidP="0002066A">
      <w:pPr>
        <w:spacing w:before="120" w:after="120" w:line="240" w:lineRule="auto"/>
        <w:jc w:val="both"/>
        <w:rPr>
          <w:rFonts w:asciiTheme="minorHAnsi" w:hAnsiTheme="minorHAnsi"/>
          <w:sz w:val="24"/>
          <w:szCs w:val="24"/>
        </w:rPr>
      </w:pPr>
    </w:p>
    <w:p w:rsidR="00E35CCF" w:rsidRPr="0002066A" w:rsidRDefault="00E35CCF" w:rsidP="0002066A">
      <w:pPr>
        <w:spacing w:before="120" w:after="120" w:line="240" w:lineRule="auto"/>
        <w:jc w:val="both"/>
        <w:rPr>
          <w:rFonts w:asciiTheme="minorHAnsi" w:hAnsiTheme="minorHAnsi"/>
          <w:sz w:val="24"/>
          <w:szCs w:val="24"/>
        </w:rPr>
      </w:pPr>
      <w:r w:rsidRPr="0002066A">
        <w:rPr>
          <w:rFonts w:asciiTheme="minorHAnsi" w:hAnsiTheme="minorHAnsi"/>
          <w:noProof/>
          <w:sz w:val="24"/>
          <w:szCs w:val="24"/>
          <w:lang w:eastAsia="el-GR"/>
        </w:rPr>
        <w:drawing>
          <wp:inline distT="0" distB="0" distL="0" distR="0">
            <wp:extent cx="4572000" cy="2743200"/>
            <wp:effectExtent l="76200" t="76200" r="209550" b="209550"/>
            <wp:docPr id="6" name="Γράφημα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35CCF" w:rsidRPr="0002066A" w:rsidRDefault="00E35CCF" w:rsidP="0002066A">
      <w:pPr>
        <w:spacing w:before="120" w:after="120" w:line="240" w:lineRule="auto"/>
        <w:jc w:val="both"/>
        <w:rPr>
          <w:rFonts w:asciiTheme="minorHAnsi" w:hAnsiTheme="minorHAnsi"/>
          <w:sz w:val="24"/>
          <w:szCs w:val="24"/>
        </w:rPr>
      </w:pPr>
    </w:p>
    <w:p w:rsidR="00E35CCF" w:rsidRPr="0002066A" w:rsidRDefault="00E35CCF" w:rsidP="0002066A">
      <w:pPr>
        <w:spacing w:before="120" w:after="120" w:line="240" w:lineRule="auto"/>
        <w:jc w:val="both"/>
        <w:rPr>
          <w:rFonts w:asciiTheme="minorHAnsi" w:hAnsiTheme="minorHAnsi"/>
          <w:sz w:val="24"/>
          <w:szCs w:val="24"/>
        </w:rPr>
      </w:pPr>
      <w:r w:rsidRPr="0002066A">
        <w:rPr>
          <w:rFonts w:asciiTheme="minorHAnsi" w:hAnsiTheme="minorHAnsi"/>
          <w:sz w:val="24"/>
          <w:szCs w:val="24"/>
        </w:rPr>
        <w:t>Από το 2016 έως το 2022 προβλέπεται οι κοινωνικές δαπάνες των δήμων να μειωθούν κατά 83%</w:t>
      </w:r>
      <w:r w:rsidR="00EA0F5E">
        <w:rPr>
          <w:rFonts w:asciiTheme="minorHAnsi" w:hAnsiTheme="minorHAnsi"/>
          <w:sz w:val="24"/>
          <w:szCs w:val="24"/>
        </w:rPr>
        <w:t xml:space="preserve"> ή 738 εκατ. €</w:t>
      </w:r>
      <w:r w:rsidRPr="0002066A">
        <w:rPr>
          <w:rFonts w:asciiTheme="minorHAnsi" w:hAnsiTheme="minorHAnsi"/>
          <w:sz w:val="24"/>
          <w:szCs w:val="24"/>
        </w:rPr>
        <w:t xml:space="preserve">. Την ίδια στιγμή που σε όλη την Ευρώπη ο κοινωνικός τομέας είναι σχεδόν πλήρως αποκεντρωμένος και όλη η Ελλάδα γνωρίζει ότι τα «πέτρινα χρόνια» αυτός που στάθηκε δίπλα στον </w:t>
      </w:r>
      <w:r w:rsidR="00951D8A" w:rsidRPr="0002066A">
        <w:rPr>
          <w:rFonts w:asciiTheme="minorHAnsi" w:hAnsiTheme="minorHAnsi"/>
          <w:sz w:val="24"/>
          <w:szCs w:val="24"/>
        </w:rPr>
        <w:t xml:space="preserve">χειμαζόμενο </w:t>
      </w:r>
      <w:r w:rsidRPr="0002066A">
        <w:rPr>
          <w:rFonts w:asciiTheme="minorHAnsi" w:hAnsiTheme="minorHAnsi"/>
          <w:sz w:val="24"/>
          <w:szCs w:val="24"/>
        </w:rPr>
        <w:t>πολίτη ήταν ο Δήμος του</w:t>
      </w:r>
      <w:r w:rsidR="00951D8A" w:rsidRPr="0002066A">
        <w:rPr>
          <w:rFonts w:asciiTheme="minorHAnsi" w:hAnsiTheme="minorHAnsi"/>
          <w:sz w:val="24"/>
          <w:szCs w:val="24"/>
        </w:rPr>
        <w:t>, η κυβέρνηση</w:t>
      </w:r>
      <w:r w:rsidRPr="0002066A">
        <w:rPr>
          <w:rFonts w:asciiTheme="minorHAnsi" w:hAnsiTheme="minorHAnsi"/>
          <w:sz w:val="24"/>
          <w:szCs w:val="24"/>
        </w:rPr>
        <w:t xml:space="preserve"> </w:t>
      </w:r>
      <w:r w:rsidR="00951D8A" w:rsidRPr="0002066A">
        <w:rPr>
          <w:rFonts w:asciiTheme="minorHAnsi" w:hAnsiTheme="minorHAnsi"/>
          <w:sz w:val="24"/>
          <w:szCs w:val="24"/>
        </w:rPr>
        <w:t>όχι μόνο δεν επιβραβεύει αλλά κυρίως δεν αναγνωρίζει την αποτελεσματικότητα της αποκέντρωσης σ</w:t>
      </w:r>
      <w:r w:rsidRPr="0002066A">
        <w:rPr>
          <w:rFonts w:asciiTheme="minorHAnsi" w:hAnsiTheme="minorHAnsi"/>
          <w:sz w:val="24"/>
          <w:szCs w:val="24"/>
        </w:rPr>
        <w:t xml:space="preserve">την κοινωνική πολιτική. </w:t>
      </w:r>
    </w:p>
    <w:p w:rsidR="00F97E33" w:rsidRPr="0002066A" w:rsidRDefault="00F97E33" w:rsidP="0002066A">
      <w:pPr>
        <w:spacing w:before="120" w:after="120" w:line="240" w:lineRule="auto"/>
        <w:jc w:val="both"/>
        <w:rPr>
          <w:rFonts w:asciiTheme="minorHAnsi" w:hAnsiTheme="minorHAnsi"/>
          <w:sz w:val="24"/>
          <w:szCs w:val="24"/>
        </w:rPr>
      </w:pPr>
    </w:p>
    <w:p w:rsidR="00370376" w:rsidRPr="0002066A" w:rsidRDefault="00370376" w:rsidP="0002066A">
      <w:pPr>
        <w:spacing w:before="120" w:after="120" w:line="240" w:lineRule="auto"/>
        <w:rPr>
          <w:rFonts w:asciiTheme="minorHAnsi" w:hAnsiTheme="minorHAnsi"/>
          <w:sz w:val="24"/>
          <w:szCs w:val="24"/>
        </w:rPr>
      </w:pPr>
      <w:r w:rsidRPr="0002066A">
        <w:rPr>
          <w:rFonts w:asciiTheme="minorHAnsi" w:hAnsiTheme="minorHAnsi"/>
          <w:sz w:val="24"/>
          <w:szCs w:val="24"/>
        </w:rPr>
        <w:lastRenderedPageBreak/>
        <w:br w:type="page"/>
      </w:r>
    </w:p>
    <w:p w:rsidR="00BB1A64" w:rsidRPr="0002066A" w:rsidRDefault="00F97E33" w:rsidP="0002066A">
      <w:pPr>
        <w:spacing w:before="120" w:after="120" w:line="240" w:lineRule="auto"/>
        <w:jc w:val="both"/>
        <w:rPr>
          <w:rFonts w:asciiTheme="minorHAnsi" w:hAnsiTheme="minorHAnsi"/>
          <w:sz w:val="24"/>
          <w:szCs w:val="24"/>
        </w:rPr>
      </w:pPr>
      <w:r w:rsidRPr="0002066A">
        <w:rPr>
          <w:rFonts w:asciiTheme="minorHAnsi" w:hAnsiTheme="minorHAnsi"/>
          <w:sz w:val="24"/>
          <w:szCs w:val="24"/>
        </w:rPr>
        <w:lastRenderedPageBreak/>
        <w:t>Το ΜΠΔΣ 2019-2022 είναι ενταγμένο σε ένα πολυνομοσχέδιο που έχει δύο ακόμα σημαντικά ζητήματα σε σχέση με τα οικονομικά της ΤΑ</w:t>
      </w:r>
      <w:r w:rsidR="00BB1A64" w:rsidRPr="0002066A">
        <w:rPr>
          <w:rFonts w:asciiTheme="minorHAnsi" w:hAnsiTheme="minorHAnsi"/>
          <w:sz w:val="24"/>
          <w:szCs w:val="24"/>
        </w:rPr>
        <w:t>.</w:t>
      </w:r>
    </w:p>
    <w:p w:rsidR="003E3E83" w:rsidRPr="0002066A" w:rsidRDefault="003E3E83" w:rsidP="0002066A">
      <w:pPr>
        <w:spacing w:before="120" w:after="120" w:line="240" w:lineRule="auto"/>
        <w:jc w:val="both"/>
        <w:rPr>
          <w:rFonts w:asciiTheme="minorHAnsi" w:hAnsiTheme="minorHAnsi"/>
          <w:b/>
          <w:sz w:val="24"/>
          <w:szCs w:val="24"/>
        </w:rPr>
      </w:pPr>
    </w:p>
    <w:p w:rsidR="00BB1A64" w:rsidRPr="0002066A" w:rsidRDefault="00BB1A64" w:rsidP="0002066A">
      <w:pPr>
        <w:spacing w:before="120" w:after="120" w:line="240" w:lineRule="auto"/>
        <w:jc w:val="both"/>
        <w:rPr>
          <w:rFonts w:asciiTheme="minorHAnsi" w:hAnsiTheme="minorHAnsi"/>
          <w:b/>
          <w:sz w:val="32"/>
          <w:szCs w:val="32"/>
        </w:rPr>
      </w:pPr>
      <w:r w:rsidRPr="0002066A">
        <w:rPr>
          <w:rFonts w:asciiTheme="minorHAnsi" w:hAnsiTheme="minorHAnsi"/>
          <w:b/>
          <w:sz w:val="32"/>
          <w:szCs w:val="32"/>
        </w:rPr>
        <w:t xml:space="preserve">Υποχρεωτική ταμειακή διαχείριση των διαθεσίμων της ΤΑ, από την Τράπεζα της Ελλάδος. </w:t>
      </w:r>
    </w:p>
    <w:p w:rsidR="006C3E94" w:rsidRPr="0002066A" w:rsidRDefault="006C3E94" w:rsidP="0002066A">
      <w:pPr>
        <w:spacing w:before="120" w:after="120" w:line="240" w:lineRule="auto"/>
        <w:jc w:val="both"/>
        <w:rPr>
          <w:rFonts w:asciiTheme="minorHAnsi" w:hAnsiTheme="minorHAnsi"/>
          <w:b/>
          <w:sz w:val="24"/>
          <w:szCs w:val="24"/>
        </w:rPr>
      </w:pPr>
      <w:r w:rsidRPr="0002066A">
        <w:rPr>
          <w:rFonts w:asciiTheme="minorHAnsi" w:hAnsiTheme="minorHAnsi"/>
          <w:b/>
          <w:sz w:val="24"/>
          <w:szCs w:val="24"/>
        </w:rPr>
        <w:t>Τα ταμειακά διαθέσιμα των δήμων τηρούνται</w:t>
      </w:r>
      <w:r w:rsidR="007F5C7E" w:rsidRPr="0002066A">
        <w:rPr>
          <w:rFonts w:asciiTheme="minorHAnsi" w:hAnsiTheme="minorHAnsi"/>
          <w:b/>
          <w:sz w:val="24"/>
          <w:szCs w:val="24"/>
        </w:rPr>
        <w:t xml:space="preserve">, </w:t>
      </w:r>
      <w:r w:rsidR="007F5C7E" w:rsidRPr="00925936">
        <w:rPr>
          <w:rFonts w:asciiTheme="minorHAnsi" w:hAnsiTheme="minorHAnsi"/>
          <w:sz w:val="24"/>
          <w:szCs w:val="24"/>
        </w:rPr>
        <w:t>με βάση το πολυνομοσχέδιο,</w:t>
      </w:r>
      <w:r w:rsidRPr="0002066A">
        <w:rPr>
          <w:rFonts w:asciiTheme="minorHAnsi" w:hAnsiTheme="minorHAnsi"/>
          <w:b/>
          <w:sz w:val="24"/>
          <w:szCs w:val="24"/>
        </w:rPr>
        <w:t xml:space="preserve"> υποχρεωτικά στην Τράπεζα της Ελλάδος, </w:t>
      </w:r>
      <w:r w:rsidRPr="00925936">
        <w:rPr>
          <w:rFonts w:asciiTheme="minorHAnsi" w:hAnsiTheme="minorHAnsi"/>
          <w:sz w:val="24"/>
          <w:szCs w:val="24"/>
        </w:rPr>
        <w:t>εκτός αυτών που έχουν κατατεθεί στο Ταμείο Παρακαταθηκών και Δανείων.</w:t>
      </w:r>
      <w:r w:rsidRPr="0002066A">
        <w:rPr>
          <w:rFonts w:asciiTheme="minorHAnsi" w:hAnsiTheme="minorHAnsi"/>
          <w:b/>
          <w:sz w:val="24"/>
          <w:szCs w:val="24"/>
        </w:rPr>
        <w:t xml:space="preserve"> Όσοι δεν συμμορφωθούν «προς τας υποδείξεις» θα υποστούν κυρώσεις </w:t>
      </w:r>
      <w:r w:rsidRPr="00925936">
        <w:rPr>
          <w:rFonts w:asciiTheme="minorHAnsi" w:hAnsiTheme="minorHAnsi"/>
          <w:sz w:val="24"/>
          <w:szCs w:val="24"/>
        </w:rPr>
        <w:t>που φτάνουν στη μείωση των ΚΑΠ</w:t>
      </w:r>
      <w:r w:rsidRPr="0002066A">
        <w:rPr>
          <w:rFonts w:asciiTheme="minorHAnsi" w:hAnsiTheme="minorHAnsi"/>
          <w:b/>
          <w:sz w:val="24"/>
          <w:szCs w:val="24"/>
        </w:rPr>
        <w:t xml:space="preserve">. Το απόγειο όμως του συγκεντρωτισμού και της γραφειοκρατικής νοοτροπίας είναι ότι οποιοσδήποτε δήμος </w:t>
      </w:r>
      <w:r w:rsidR="007F5C7E" w:rsidRPr="0002066A">
        <w:rPr>
          <w:rFonts w:asciiTheme="minorHAnsi" w:hAnsiTheme="minorHAnsi"/>
          <w:b/>
          <w:sz w:val="24"/>
          <w:szCs w:val="24"/>
        </w:rPr>
        <w:t xml:space="preserve">μεγάλος ή μικρός, </w:t>
      </w:r>
      <w:r w:rsidRPr="0002066A">
        <w:rPr>
          <w:rFonts w:asciiTheme="minorHAnsi" w:hAnsiTheme="minorHAnsi"/>
          <w:b/>
          <w:sz w:val="24"/>
          <w:szCs w:val="24"/>
        </w:rPr>
        <w:t>σε οποιοδήποτε σημείο της χώρας</w:t>
      </w:r>
      <w:r w:rsidR="007F5C7E" w:rsidRPr="0002066A">
        <w:rPr>
          <w:rFonts w:asciiTheme="minorHAnsi" w:hAnsiTheme="minorHAnsi"/>
          <w:b/>
          <w:sz w:val="24"/>
          <w:szCs w:val="24"/>
        </w:rPr>
        <w:t>, σε πολεοδομικό συγκρότημα ή σε μικρό ακριτικό νησί</w:t>
      </w:r>
      <w:r w:rsidR="0002066A">
        <w:rPr>
          <w:rFonts w:asciiTheme="minorHAnsi" w:hAnsiTheme="minorHAnsi"/>
          <w:b/>
          <w:sz w:val="24"/>
          <w:szCs w:val="24"/>
        </w:rPr>
        <w:t>,</w:t>
      </w:r>
      <w:r w:rsidRPr="0002066A">
        <w:rPr>
          <w:rFonts w:asciiTheme="minorHAnsi" w:hAnsiTheme="minorHAnsi"/>
          <w:b/>
          <w:sz w:val="24"/>
          <w:szCs w:val="24"/>
        </w:rPr>
        <w:t xml:space="preserve"> θελήσει να ανοίξει </w:t>
      </w:r>
      <w:r w:rsidR="007F5C7E" w:rsidRPr="0002066A">
        <w:rPr>
          <w:rFonts w:asciiTheme="minorHAnsi" w:hAnsiTheme="minorHAnsi"/>
          <w:b/>
          <w:sz w:val="24"/>
          <w:szCs w:val="24"/>
        </w:rPr>
        <w:t xml:space="preserve">οποιονδήποτε </w:t>
      </w:r>
      <w:r w:rsidRPr="0002066A">
        <w:rPr>
          <w:rFonts w:asciiTheme="minorHAnsi" w:hAnsiTheme="minorHAnsi"/>
          <w:b/>
          <w:sz w:val="24"/>
          <w:szCs w:val="24"/>
        </w:rPr>
        <w:t>τραπεζικό λογαριασμό</w:t>
      </w:r>
      <w:r w:rsidR="007F5C7E" w:rsidRPr="0002066A">
        <w:rPr>
          <w:rFonts w:asciiTheme="minorHAnsi" w:hAnsiTheme="minorHAnsi"/>
          <w:b/>
          <w:sz w:val="24"/>
          <w:szCs w:val="24"/>
        </w:rPr>
        <w:t>,</w:t>
      </w:r>
      <w:r w:rsidRPr="0002066A">
        <w:rPr>
          <w:rFonts w:asciiTheme="minorHAnsi" w:hAnsiTheme="minorHAnsi"/>
          <w:b/>
          <w:sz w:val="24"/>
          <w:szCs w:val="24"/>
        </w:rPr>
        <w:t xml:space="preserve"> θα χρειαστεί </w:t>
      </w:r>
      <w:r w:rsidR="007F5C7E" w:rsidRPr="0002066A">
        <w:rPr>
          <w:rFonts w:asciiTheme="minorHAnsi" w:hAnsiTheme="minorHAnsi"/>
          <w:b/>
          <w:sz w:val="24"/>
          <w:szCs w:val="24"/>
        </w:rPr>
        <w:t>απόφαση του υπουργού Οικονομι</w:t>
      </w:r>
      <w:r w:rsidR="00C84851">
        <w:rPr>
          <w:rFonts w:asciiTheme="minorHAnsi" w:hAnsiTheme="minorHAnsi"/>
          <w:b/>
          <w:sz w:val="24"/>
          <w:szCs w:val="24"/>
        </w:rPr>
        <w:t>κ</w:t>
      </w:r>
      <w:r w:rsidR="007F5C7E" w:rsidRPr="0002066A">
        <w:rPr>
          <w:rFonts w:asciiTheme="minorHAnsi" w:hAnsiTheme="minorHAnsi"/>
          <w:b/>
          <w:sz w:val="24"/>
          <w:szCs w:val="24"/>
        </w:rPr>
        <w:t>ών!</w:t>
      </w:r>
      <w:r w:rsidRPr="0002066A">
        <w:rPr>
          <w:rFonts w:asciiTheme="minorHAnsi" w:hAnsiTheme="minorHAnsi"/>
          <w:b/>
          <w:sz w:val="24"/>
          <w:szCs w:val="24"/>
        </w:rPr>
        <w:t xml:space="preserve"> </w:t>
      </w:r>
    </w:p>
    <w:p w:rsidR="006C3E94" w:rsidRPr="0002066A" w:rsidRDefault="006C3E94" w:rsidP="0002066A">
      <w:pPr>
        <w:spacing w:before="120" w:after="120" w:line="240" w:lineRule="auto"/>
        <w:jc w:val="both"/>
        <w:rPr>
          <w:rFonts w:asciiTheme="minorHAnsi" w:hAnsiTheme="minorHAnsi"/>
          <w:sz w:val="24"/>
          <w:szCs w:val="24"/>
        </w:rPr>
      </w:pPr>
    </w:p>
    <w:p w:rsidR="00F97E33" w:rsidRPr="0002066A" w:rsidRDefault="006C3E94" w:rsidP="0002066A">
      <w:pPr>
        <w:spacing w:before="120" w:after="120" w:line="240" w:lineRule="auto"/>
        <w:jc w:val="both"/>
        <w:rPr>
          <w:rFonts w:asciiTheme="minorHAnsi" w:hAnsiTheme="minorHAnsi"/>
          <w:i/>
          <w:sz w:val="24"/>
          <w:szCs w:val="24"/>
          <w:lang w:eastAsia="el-GR"/>
        </w:rPr>
      </w:pPr>
      <w:r w:rsidRPr="0002066A">
        <w:rPr>
          <w:rFonts w:asciiTheme="minorHAnsi" w:hAnsiTheme="minorHAnsi"/>
          <w:sz w:val="24"/>
          <w:szCs w:val="24"/>
        </w:rPr>
        <w:t>Πιο συγκεκριμένα σ</w:t>
      </w:r>
      <w:r w:rsidR="00BB1A64" w:rsidRPr="0002066A">
        <w:rPr>
          <w:rFonts w:asciiTheme="minorHAnsi" w:hAnsiTheme="minorHAnsi"/>
          <w:sz w:val="24"/>
          <w:szCs w:val="24"/>
        </w:rPr>
        <w:t xml:space="preserve">το άρθρο 80 αναφέρεται: </w:t>
      </w:r>
      <w:r w:rsidR="00F97E33" w:rsidRPr="0002066A">
        <w:rPr>
          <w:rFonts w:asciiTheme="minorHAnsi" w:hAnsiTheme="minorHAnsi"/>
          <w:sz w:val="24"/>
          <w:szCs w:val="24"/>
        </w:rPr>
        <w:t xml:space="preserve"> </w:t>
      </w:r>
      <w:r w:rsidR="00BB1A64" w:rsidRPr="0002066A">
        <w:rPr>
          <w:rFonts w:asciiTheme="minorHAnsi" w:hAnsiTheme="minorHAnsi"/>
          <w:i/>
          <w:sz w:val="24"/>
          <w:szCs w:val="24"/>
        </w:rPr>
        <w:t>«</w:t>
      </w:r>
      <w:r w:rsidR="00BB1A64" w:rsidRPr="0002066A">
        <w:rPr>
          <w:rFonts w:asciiTheme="minorHAnsi" w:hAnsiTheme="minorHAnsi"/>
          <w:i/>
          <w:sz w:val="24"/>
          <w:szCs w:val="24"/>
          <w:lang w:eastAsia="el-GR"/>
        </w:rPr>
        <w:t xml:space="preserve">Οι Φορείς της Γενικής Κυβέρνησης, όπως αυτοί προσδιορίζονται από το εκάστοτε εν ισχύ «Μητρώο Φορέων Γενικής Κυβέρνησης» που τηρείται με ευθύνη της Ελληνικής Στατιστικής Αρχής, συμπεριλαμβανομένων και των Οργανισμών Τοπικής Αυτοδιοίκησης </w:t>
      </w:r>
      <w:proofErr w:type="spellStart"/>
      <w:r w:rsidR="00BB1A64" w:rsidRPr="0002066A">
        <w:rPr>
          <w:rFonts w:asciiTheme="minorHAnsi" w:hAnsiTheme="minorHAnsi"/>
          <w:i/>
          <w:sz w:val="24"/>
          <w:szCs w:val="24"/>
          <w:lang w:eastAsia="el-GR"/>
        </w:rPr>
        <w:t>α΄</w:t>
      </w:r>
      <w:proofErr w:type="spellEnd"/>
      <w:r w:rsidR="00BB1A64" w:rsidRPr="0002066A">
        <w:rPr>
          <w:rFonts w:asciiTheme="minorHAnsi" w:hAnsiTheme="minorHAnsi"/>
          <w:i/>
          <w:sz w:val="24"/>
          <w:szCs w:val="24"/>
          <w:lang w:eastAsia="el-GR"/>
        </w:rPr>
        <w:t xml:space="preserve"> και </w:t>
      </w:r>
      <w:proofErr w:type="spellStart"/>
      <w:r w:rsidR="00BB1A64" w:rsidRPr="0002066A">
        <w:rPr>
          <w:rFonts w:asciiTheme="minorHAnsi" w:hAnsiTheme="minorHAnsi"/>
          <w:i/>
          <w:sz w:val="24"/>
          <w:szCs w:val="24"/>
          <w:lang w:eastAsia="el-GR"/>
        </w:rPr>
        <w:t>β΄</w:t>
      </w:r>
      <w:proofErr w:type="spellEnd"/>
      <w:r w:rsidR="00BB1A64" w:rsidRPr="0002066A">
        <w:rPr>
          <w:rFonts w:asciiTheme="minorHAnsi" w:hAnsiTheme="minorHAnsi"/>
          <w:i/>
          <w:sz w:val="24"/>
          <w:szCs w:val="24"/>
          <w:lang w:eastAsia="el-GR"/>
        </w:rPr>
        <w:t xml:space="preserve"> βαθμού, τηρούν υποχρεωτικά το σύνολο των ταμειακών τους διαθεσίμων στην ταμειακή τους διαχείριση στην Τράπεζα της Ελλάδος».</w:t>
      </w:r>
    </w:p>
    <w:p w:rsidR="00BB1A64" w:rsidRPr="0002066A" w:rsidRDefault="00BB1A64" w:rsidP="0002066A">
      <w:pPr>
        <w:spacing w:before="120" w:after="120" w:line="240" w:lineRule="auto"/>
        <w:jc w:val="both"/>
        <w:rPr>
          <w:rFonts w:asciiTheme="minorHAnsi" w:hAnsiTheme="minorHAnsi"/>
          <w:i/>
          <w:sz w:val="24"/>
          <w:szCs w:val="24"/>
          <w:lang w:eastAsia="el-GR"/>
        </w:rPr>
      </w:pPr>
      <w:r w:rsidRPr="0002066A">
        <w:rPr>
          <w:rFonts w:asciiTheme="minorHAnsi" w:hAnsiTheme="minorHAnsi"/>
          <w:i/>
          <w:sz w:val="24"/>
          <w:szCs w:val="24"/>
          <w:lang w:eastAsia="el-GR"/>
        </w:rPr>
        <w:t>«Με κοινή απόφαση του Υπουργού Οικονομικών και του εκάστοτε εποπτεύοντος Υπουργού είναι δυνατή, σε περίπτωση μη συμμόρφωσης φορέα της Γενικής Κυβέρνησης …. δύναται να μειώνεται το ύψος της ετήσιας επιχορήγησης του φορέα από τον Τακτικό Προϋπολογισμό».</w:t>
      </w:r>
    </w:p>
    <w:p w:rsidR="00370376" w:rsidRPr="0002066A" w:rsidRDefault="00B222CC" w:rsidP="0002066A">
      <w:pPr>
        <w:spacing w:before="120" w:after="120" w:line="240" w:lineRule="auto"/>
        <w:jc w:val="both"/>
        <w:rPr>
          <w:rFonts w:asciiTheme="minorHAnsi" w:hAnsiTheme="minorHAnsi"/>
          <w:i/>
          <w:sz w:val="24"/>
          <w:szCs w:val="24"/>
          <w:lang w:eastAsia="el-GR"/>
        </w:rPr>
      </w:pPr>
      <w:r w:rsidRPr="0002066A">
        <w:rPr>
          <w:rFonts w:asciiTheme="minorHAnsi" w:hAnsiTheme="minorHAnsi"/>
          <w:i/>
          <w:sz w:val="24"/>
          <w:szCs w:val="24"/>
          <w:lang w:eastAsia="el-GR"/>
        </w:rPr>
        <w:t>«Το άνοιγμα σε πιστωτικά ιδρύματα, οποιουδήποτε λογαριασμού φορέων της Γενικής Κυβέρνησης που συμμετέχουν στον Ενιαίο Λογαριασμό, επιτρέπεται αποκλειστικά σε εξαιρετικές περιπτώσεις και διενεργείται με απόφαση του Υπουργού Οικονομικών»</w:t>
      </w:r>
    </w:p>
    <w:p w:rsidR="00B47EA3" w:rsidRPr="0002066A" w:rsidRDefault="00B47EA3" w:rsidP="0002066A">
      <w:pPr>
        <w:spacing w:before="120" w:after="120" w:line="240" w:lineRule="auto"/>
        <w:jc w:val="both"/>
        <w:rPr>
          <w:rFonts w:asciiTheme="minorHAnsi" w:hAnsiTheme="minorHAnsi"/>
          <w:i/>
          <w:sz w:val="24"/>
          <w:szCs w:val="24"/>
          <w:lang w:eastAsia="el-GR"/>
        </w:rPr>
      </w:pPr>
    </w:p>
    <w:p w:rsidR="00370376" w:rsidRPr="0002066A" w:rsidRDefault="00370376" w:rsidP="0002066A">
      <w:pPr>
        <w:spacing w:before="120" w:after="120" w:line="240" w:lineRule="auto"/>
        <w:jc w:val="both"/>
        <w:rPr>
          <w:rFonts w:asciiTheme="minorHAnsi" w:hAnsiTheme="minorHAnsi"/>
          <w:sz w:val="24"/>
          <w:szCs w:val="24"/>
        </w:rPr>
      </w:pPr>
    </w:p>
    <w:sectPr w:rsidR="00370376" w:rsidRPr="0002066A" w:rsidSect="00280C95">
      <w:headerReference w:type="default" r:id="rId13"/>
      <w:pgSz w:w="11906" w:h="16838"/>
      <w:pgMar w:top="1440" w:right="2408" w:bottom="1440"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971" w:rsidRDefault="00D67971" w:rsidP="00547994">
      <w:pPr>
        <w:spacing w:after="0" w:line="240" w:lineRule="auto"/>
      </w:pPr>
      <w:r>
        <w:separator/>
      </w:r>
    </w:p>
  </w:endnote>
  <w:endnote w:type="continuationSeparator" w:id="0">
    <w:p w:rsidR="00D67971" w:rsidRDefault="00D67971" w:rsidP="005479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971" w:rsidRDefault="00D67971" w:rsidP="00547994">
      <w:pPr>
        <w:spacing w:after="0" w:line="240" w:lineRule="auto"/>
      </w:pPr>
      <w:r>
        <w:separator/>
      </w:r>
    </w:p>
  </w:footnote>
  <w:footnote w:type="continuationSeparator" w:id="0">
    <w:p w:rsidR="00D67971" w:rsidRDefault="00D67971" w:rsidP="005479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716909"/>
      <w:docPartObj>
        <w:docPartGallery w:val="Page Numbers (Top of Page)"/>
        <w:docPartUnique/>
      </w:docPartObj>
    </w:sdtPr>
    <w:sdtContent>
      <w:p w:rsidR="00547994" w:rsidRDefault="00F545F8">
        <w:pPr>
          <w:pStyle w:val="a4"/>
          <w:jc w:val="right"/>
        </w:pPr>
        <w:r>
          <w:fldChar w:fldCharType="begin"/>
        </w:r>
        <w:r w:rsidR="00547994">
          <w:instrText>PAGE   \* MERGEFORMAT</w:instrText>
        </w:r>
        <w:r>
          <w:fldChar w:fldCharType="separate"/>
        </w:r>
        <w:r w:rsidR="00D6579D">
          <w:rPr>
            <w:noProof/>
          </w:rPr>
          <w:t>8</w:t>
        </w:r>
        <w:r>
          <w:fldChar w:fldCharType="end"/>
        </w:r>
      </w:p>
    </w:sdtContent>
  </w:sdt>
  <w:p w:rsidR="00547994" w:rsidRDefault="0054799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2502"/>
    <w:multiLevelType w:val="hybridMultilevel"/>
    <w:tmpl w:val="D85E48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BB42366"/>
    <w:multiLevelType w:val="hybridMultilevel"/>
    <w:tmpl w:val="69184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6"/>
  <w:proofState w:spelling="clean" w:grammar="clean"/>
  <w:defaultTabStop w:val="720"/>
  <w:characterSpacingControl w:val="doNotCompress"/>
  <w:footnotePr>
    <w:footnote w:id="-1"/>
    <w:footnote w:id="0"/>
  </w:footnotePr>
  <w:endnotePr>
    <w:endnote w:id="-1"/>
    <w:endnote w:id="0"/>
  </w:endnotePr>
  <w:compat/>
  <w:rsids>
    <w:rsidRoot w:val="0018305D"/>
    <w:rsid w:val="0002066A"/>
    <w:rsid w:val="0018305D"/>
    <w:rsid w:val="00192345"/>
    <w:rsid w:val="001C28C0"/>
    <w:rsid w:val="00280C95"/>
    <w:rsid w:val="00324841"/>
    <w:rsid w:val="003619EE"/>
    <w:rsid w:val="00370376"/>
    <w:rsid w:val="003B7968"/>
    <w:rsid w:val="003D1901"/>
    <w:rsid w:val="003E3E83"/>
    <w:rsid w:val="004169FC"/>
    <w:rsid w:val="00443A14"/>
    <w:rsid w:val="00547994"/>
    <w:rsid w:val="00562750"/>
    <w:rsid w:val="005B6201"/>
    <w:rsid w:val="006049AA"/>
    <w:rsid w:val="00647A3C"/>
    <w:rsid w:val="00665C63"/>
    <w:rsid w:val="006A6747"/>
    <w:rsid w:val="006C3E94"/>
    <w:rsid w:val="00723334"/>
    <w:rsid w:val="007F5C7E"/>
    <w:rsid w:val="00856D0F"/>
    <w:rsid w:val="008C232F"/>
    <w:rsid w:val="009022D6"/>
    <w:rsid w:val="00925936"/>
    <w:rsid w:val="00951D8A"/>
    <w:rsid w:val="00A54E66"/>
    <w:rsid w:val="00A60716"/>
    <w:rsid w:val="00B208A1"/>
    <w:rsid w:val="00B222CC"/>
    <w:rsid w:val="00B32050"/>
    <w:rsid w:val="00B47EA3"/>
    <w:rsid w:val="00B67EA4"/>
    <w:rsid w:val="00BB1A64"/>
    <w:rsid w:val="00C63BE5"/>
    <w:rsid w:val="00C84851"/>
    <w:rsid w:val="00C939E9"/>
    <w:rsid w:val="00D4732A"/>
    <w:rsid w:val="00D61D3B"/>
    <w:rsid w:val="00D6579D"/>
    <w:rsid w:val="00D67971"/>
    <w:rsid w:val="00DC1A62"/>
    <w:rsid w:val="00DD4AEB"/>
    <w:rsid w:val="00E13B01"/>
    <w:rsid w:val="00E35CCF"/>
    <w:rsid w:val="00E839B3"/>
    <w:rsid w:val="00EA0F5E"/>
    <w:rsid w:val="00ED0D05"/>
    <w:rsid w:val="00F545F8"/>
    <w:rsid w:val="00F74C5E"/>
    <w:rsid w:val="00F97E3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05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C3E94"/>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6C3E94"/>
    <w:rPr>
      <w:rFonts w:ascii="Segoe UI" w:eastAsia="Calibri" w:hAnsi="Segoe UI" w:cs="Segoe UI"/>
      <w:sz w:val="18"/>
      <w:szCs w:val="18"/>
    </w:rPr>
  </w:style>
  <w:style w:type="paragraph" w:styleId="a4">
    <w:name w:val="header"/>
    <w:basedOn w:val="a"/>
    <w:link w:val="Char0"/>
    <w:uiPriority w:val="99"/>
    <w:unhideWhenUsed/>
    <w:rsid w:val="00547994"/>
    <w:pPr>
      <w:tabs>
        <w:tab w:val="center" w:pos="4153"/>
        <w:tab w:val="right" w:pos="8306"/>
      </w:tabs>
      <w:spacing w:after="0" w:line="240" w:lineRule="auto"/>
    </w:pPr>
  </w:style>
  <w:style w:type="character" w:customStyle="1" w:styleId="Char0">
    <w:name w:val="Κεφαλίδα Char"/>
    <w:basedOn w:val="a0"/>
    <w:link w:val="a4"/>
    <w:uiPriority w:val="99"/>
    <w:rsid w:val="00547994"/>
    <w:rPr>
      <w:rFonts w:ascii="Calibri" w:eastAsia="Calibri" w:hAnsi="Calibri" w:cs="Calibri"/>
    </w:rPr>
  </w:style>
  <w:style w:type="paragraph" w:styleId="a5">
    <w:name w:val="footer"/>
    <w:basedOn w:val="a"/>
    <w:link w:val="Char1"/>
    <w:uiPriority w:val="99"/>
    <w:unhideWhenUsed/>
    <w:rsid w:val="00547994"/>
    <w:pPr>
      <w:tabs>
        <w:tab w:val="center" w:pos="4153"/>
        <w:tab w:val="right" w:pos="8306"/>
      </w:tabs>
      <w:spacing w:after="0" w:line="240" w:lineRule="auto"/>
    </w:pPr>
  </w:style>
  <w:style w:type="character" w:customStyle="1" w:styleId="Char1">
    <w:name w:val="Υποσέλιδο Char"/>
    <w:basedOn w:val="a0"/>
    <w:link w:val="a5"/>
    <w:uiPriority w:val="99"/>
    <w:rsid w:val="00547994"/>
    <w:rPr>
      <w:rFonts w:ascii="Calibri" w:eastAsia="Calibri" w:hAnsi="Calibri" w:cs="Calibri"/>
    </w:rPr>
  </w:style>
  <w:style w:type="table" w:customStyle="1" w:styleId="GridTable1LightAccent2">
    <w:name w:val="Grid Table 1 Light Accent 2"/>
    <w:basedOn w:val="a1"/>
    <w:uiPriority w:val="46"/>
    <w:rsid w:val="006A6747"/>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1"/>
    <w:uiPriority w:val="46"/>
    <w:rsid w:val="006A6747"/>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6">
    <w:name w:val="Grid Table 1 Light Accent 6"/>
    <w:basedOn w:val="a1"/>
    <w:uiPriority w:val="46"/>
    <w:rsid w:val="006A6747"/>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
    <w:name w:val="Grid Table 1 Light"/>
    <w:basedOn w:val="a1"/>
    <w:uiPriority w:val="46"/>
    <w:rsid w:val="006A674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Accent5">
    <w:name w:val="Grid Table 2 Accent 5"/>
    <w:basedOn w:val="a1"/>
    <w:uiPriority w:val="47"/>
    <w:rsid w:val="006A674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
    <w:name w:val="Grid Table 2 Accent 6"/>
    <w:basedOn w:val="a1"/>
    <w:uiPriority w:val="47"/>
    <w:rsid w:val="006A6747"/>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Accent2">
    <w:name w:val="Grid Table 3 Accent 2"/>
    <w:basedOn w:val="a1"/>
    <w:uiPriority w:val="48"/>
    <w:rsid w:val="006A6747"/>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a1"/>
    <w:uiPriority w:val="48"/>
    <w:rsid w:val="006A6747"/>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5DarkAccent5">
    <w:name w:val="Grid Table 5 Dark Accent 5"/>
    <w:basedOn w:val="a1"/>
    <w:uiPriority w:val="50"/>
    <w:rsid w:val="006A674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a6">
    <w:name w:val="List Paragraph"/>
    <w:basedOn w:val="a"/>
    <w:uiPriority w:val="34"/>
    <w:qFormat/>
    <w:rsid w:val="003B7968"/>
    <w:pPr>
      <w:ind w:left="720"/>
      <w:contextualSpacing/>
    </w:pPr>
  </w:style>
</w:styles>
</file>

<file path=word/webSettings.xml><?xml version="1.0" encoding="utf-8"?>
<w:webSettings xmlns:r="http://schemas.openxmlformats.org/officeDocument/2006/relationships" xmlns:w="http://schemas.openxmlformats.org/wordprocessingml/2006/main">
  <w:divs>
    <w:div w:id="35673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________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________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________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________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_________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_________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l-GR" b="1"/>
              <a:t>Αποδιδόμενοι πόροι σε ΟΤΑ </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stacked"/>
        <c:ser>
          <c:idx val="0"/>
          <c:order val="0"/>
          <c:tx>
            <c:strRef>
              <c:f>Φύλλο1!$S$40</c:f>
              <c:strCache>
                <c:ptCount val="1"/>
                <c:pt idx="0">
                  <c:v>Αποδιδόμενοι πόροι σε ΟΤΑ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cat>
            <c:numRef>
              <c:f>Φύλλο1!$T$39:$Z$39</c:f>
              <c:numCache>
                <c:formatCode>General</c:formatCode>
                <c:ptCount val="7"/>
                <c:pt idx="0">
                  <c:v>2016</c:v>
                </c:pt>
                <c:pt idx="1">
                  <c:v>2017</c:v>
                </c:pt>
                <c:pt idx="2">
                  <c:v>2018</c:v>
                </c:pt>
                <c:pt idx="3">
                  <c:v>2018</c:v>
                </c:pt>
                <c:pt idx="4">
                  <c:v>2020</c:v>
                </c:pt>
                <c:pt idx="5">
                  <c:v>2021</c:v>
                </c:pt>
                <c:pt idx="6">
                  <c:v>2022</c:v>
                </c:pt>
              </c:numCache>
            </c:numRef>
          </c:cat>
          <c:val>
            <c:numRef>
              <c:f>Φύλλο1!$T$40:$Z$40</c:f>
              <c:numCache>
                <c:formatCode>#,##0</c:formatCode>
                <c:ptCount val="7"/>
                <c:pt idx="0">
                  <c:v>3231</c:v>
                </c:pt>
                <c:pt idx="1">
                  <c:v>3014</c:v>
                </c:pt>
                <c:pt idx="2">
                  <c:v>3193</c:v>
                </c:pt>
                <c:pt idx="3">
                  <c:v>2510</c:v>
                </c:pt>
                <c:pt idx="4">
                  <c:v>2745</c:v>
                </c:pt>
                <c:pt idx="5">
                  <c:v>2745</c:v>
                </c:pt>
                <c:pt idx="6">
                  <c:v>2745</c:v>
                </c:pt>
              </c:numCache>
            </c:numRef>
          </c:val>
        </c:ser>
        <c:shape val="box"/>
        <c:axId val="104284544"/>
        <c:axId val="104306560"/>
        <c:axId val="0"/>
      </c:bar3DChart>
      <c:catAx>
        <c:axId val="104284544"/>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04306560"/>
        <c:crosses val="autoZero"/>
        <c:auto val="1"/>
        <c:lblAlgn val="ctr"/>
        <c:lblOffset val="100"/>
      </c:catAx>
      <c:valAx>
        <c:axId val="104306560"/>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04284544"/>
        <c:crosses val="autoZero"/>
        <c:crossBetween val="between"/>
      </c:valAx>
      <c:spPr>
        <a:noFill/>
        <a:ln>
          <a:noFill/>
        </a:ln>
        <a:effectLst/>
      </c:spPr>
    </c:plotArea>
    <c:plotVisOnly val="1"/>
    <c:dispBlanksAs val="gap"/>
  </c:chart>
  <c:spPr>
    <a:solidFill>
      <a:schemeClr val="bg1"/>
    </a:solidFill>
    <a:ln w="9525" cap="flat" cmpd="sng" algn="ctr">
      <a:noFill/>
      <a:round/>
    </a:ln>
    <a:effectLst>
      <a:outerShdw blurRad="114300" dist="88900" dir="2700000" algn="tl" rotWithShape="0">
        <a:prstClr val="black">
          <a:alpha val="40000"/>
        </a:prstClr>
      </a:outerShdw>
    </a:effectLst>
  </c:spPr>
  <c:txPr>
    <a:bodyPr/>
    <a:lstStyle/>
    <a:p>
      <a:pPr>
        <a:defRPr/>
      </a:pPr>
      <a:endParaRPr lang="el-G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l-GR"/>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l-GR"/>
              <a:t>ΠλεονΑσματα ΤΑ</a:t>
            </a:r>
          </a:p>
        </c:rich>
      </c:tx>
      <c:layout>
        <c:manualLayout>
          <c:xMode val="edge"/>
          <c:yMode val="edge"/>
          <c:x val="0.36337489063867046"/>
          <c:y val="2.7777777777777801E-2"/>
        </c:manualLayout>
      </c:layout>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stacked"/>
        <c:ser>
          <c:idx val="0"/>
          <c:order val="0"/>
          <c:tx>
            <c:strRef>
              <c:f>Φύλλο1!$A$62</c:f>
              <c:strCache>
                <c:ptCount val="1"/>
                <c:pt idx="0">
                  <c:v>Πλεονάσματα ΤΑ</c:v>
                </c:pt>
              </c:strCache>
            </c:strRef>
          </c:tx>
          <c:spPr>
            <a:gradFill>
              <a:gsLst>
                <a:gs pos="94000">
                  <a:schemeClr val="accent6">
                    <a:lumMod val="50000"/>
                  </a:schemeClr>
                </a:gs>
                <a:gs pos="53000">
                  <a:schemeClr val="accent6">
                    <a:lumMod val="75000"/>
                  </a:schemeClr>
                </a:gs>
                <a:gs pos="21000">
                  <a:schemeClr val="accent6">
                    <a:lumMod val="60000"/>
                    <a:lumOff val="40000"/>
                  </a:schemeClr>
                </a:gs>
              </a:gsLst>
              <a:lin ang="5400000" scaled="1"/>
            </a:gra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l-GR"/>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Φύλλο1!$B$61:$H$61</c:f>
              <c:numCache>
                <c:formatCode>General</c:formatCode>
                <c:ptCount val="7"/>
                <c:pt idx="0">
                  <c:v>2016</c:v>
                </c:pt>
                <c:pt idx="1">
                  <c:v>2017</c:v>
                </c:pt>
                <c:pt idx="2">
                  <c:v>2018</c:v>
                </c:pt>
                <c:pt idx="3">
                  <c:v>2018</c:v>
                </c:pt>
                <c:pt idx="4">
                  <c:v>2020</c:v>
                </c:pt>
                <c:pt idx="5">
                  <c:v>2021</c:v>
                </c:pt>
                <c:pt idx="6">
                  <c:v>2022</c:v>
                </c:pt>
              </c:numCache>
            </c:numRef>
          </c:cat>
          <c:val>
            <c:numRef>
              <c:f>Φύλλο1!$B$62:$H$62</c:f>
              <c:numCache>
                <c:formatCode>General</c:formatCode>
                <c:ptCount val="7"/>
                <c:pt idx="0">
                  <c:v>471</c:v>
                </c:pt>
                <c:pt idx="1">
                  <c:v>326</c:v>
                </c:pt>
                <c:pt idx="2">
                  <c:v>482</c:v>
                </c:pt>
                <c:pt idx="3">
                  <c:v>258</c:v>
                </c:pt>
                <c:pt idx="4">
                  <c:v>503</c:v>
                </c:pt>
                <c:pt idx="5">
                  <c:v>552</c:v>
                </c:pt>
                <c:pt idx="6">
                  <c:v>661</c:v>
                </c:pt>
              </c:numCache>
            </c:numRef>
          </c:val>
        </c:ser>
        <c:dLbls>
          <c:showVal val="1"/>
        </c:dLbls>
        <c:gapWidth val="79"/>
        <c:shape val="box"/>
        <c:axId val="111850240"/>
        <c:axId val="111936256"/>
        <c:axId val="0"/>
      </c:bar3DChart>
      <c:catAx>
        <c:axId val="11185024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l-GR"/>
          </a:p>
        </c:txPr>
        <c:crossAx val="111936256"/>
        <c:crosses val="autoZero"/>
        <c:auto val="1"/>
        <c:lblAlgn val="ctr"/>
        <c:lblOffset val="100"/>
      </c:catAx>
      <c:valAx>
        <c:axId val="111936256"/>
        <c:scaling>
          <c:orientation val="minMax"/>
        </c:scaling>
        <c:delete val="1"/>
        <c:axPos val="l"/>
        <c:numFmt formatCode="General" sourceLinked="1"/>
        <c:majorTickMark val="none"/>
        <c:tickLblPos val="none"/>
        <c:crossAx val="111850240"/>
        <c:crosses val="autoZero"/>
        <c:crossBetween val="between"/>
      </c:valAx>
      <c:spPr>
        <a:noFill/>
        <a:ln>
          <a:noFill/>
        </a:ln>
        <a:effectLst/>
      </c:spPr>
    </c:plotArea>
    <c:plotVisOnly val="1"/>
    <c:dispBlanksAs val="gap"/>
  </c:chart>
  <c:spPr>
    <a:solidFill>
      <a:schemeClr val="lt1"/>
    </a:solidFill>
    <a:ln w="9525" cap="flat" cmpd="sng" algn="ctr">
      <a:noFill/>
      <a:round/>
    </a:ln>
    <a:effectLst>
      <a:outerShdw blurRad="190500" dist="127000" dir="2700000" algn="tl" rotWithShape="0">
        <a:prstClr val="black">
          <a:alpha val="40000"/>
        </a:prstClr>
      </a:outerShdw>
    </a:effectLst>
  </c:spPr>
  <c:txPr>
    <a:bodyPr/>
    <a:lstStyle/>
    <a:p>
      <a:pPr>
        <a:defRPr/>
      </a:pPr>
      <a:endParaRPr lang="el-G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l-G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b="1"/>
              <a:t>Εξέλιξη Συνολικών Δαπανών</a:t>
            </a:r>
            <a:r>
              <a:rPr lang="el-GR" b="1" baseline="0"/>
              <a:t> ΤΑ</a:t>
            </a:r>
            <a:r>
              <a:rPr lang="el-GR" b="1"/>
              <a:t> </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stacked"/>
        <c:ser>
          <c:idx val="0"/>
          <c:order val="0"/>
          <c:tx>
            <c:strRef>
              <c:f>Φύλλο1!$A$69</c:f>
              <c:strCache>
                <c:ptCount val="1"/>
                <c:pt idx="0">
                  <c:v>Δαπάνες </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el-GR"/>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Φύλλο1!$B$68:$H$68</c:f>
              <c:numCache>
                <c:formatCode>General</c:formatCode>
                <c:ptCount val="7"/>
                <c:pt idx="0">
                  <c:v>2016</c:v>
                </c:pt>
                <c:pt idx="1">
                  <c:v>2017</c:v>
                </c:pt>
                <c:pt idx="2">
                  <c:v>2018</c:v>
                </c:pt>
                <c:pt idx="3">
                  <c:v>2018</c:v>
                </c:pt>
                <c:pt idx="4">
                  <c:v>2020</c:v>
                </c:pt>
                <c:pt idx="5">
                  <c:v>2021</c:v>
                </c:pt>
                <c:pt idx="6">
                  <c:v>2022</c:v>
                </c:pt>
              </c:numCache>
            </c:numRef>
          </c:cat>
          <c:val>
            <c:numRef>
              <c:f>Φύλλο1!$B$69:$H$69</c:f>
              <c:numCache>
                <c:formatCode>#,##0</c:formatCode>
                <c:ptCount val="7"/>
                <c:pt idx="0">
                  <c:v>6010</c:v>
                </c:pt>
                <c:pt idx="1">
                  <c:v>6003</c:v>
                </c:pt>
                <c:pt idx="2">
                  <c:v>6464</c:v>
                </c:pt>
                <c:pt idx="3">
                  <c:v>6029</c:v>
                </c:pt>
                <c:pt idx="4">
                  <c:v>6079</c:v>
                </c:pt>
                <c:pt idx="5">
                  <c:v>6129</c:v>
                </c:pt>
                <c:pt idx="6">
                  <c:v>6145</c:v>
                </c:pt>
              </c:numCache>
            </c:numRef>
          </c:val>
        </c:ser>
        <c:dLbls>
          <c:showVal val="1"/>
        </c:dLbls>
        <c:shape val="box"/>
        <c:axId val="57757696"/>
        <c:axId val="57759232"/>
        <c:axId val="0"/>
      </c:bar3DChart>
      <c:catAx>
        <c:axId val="57757696"/>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57759232"/>
        <c:crosses val="autoZero"/>
        <c:auto val="1"/>
        <c:lblAlgn val="ctr"/>
        <c:lblOffset val="100"/>
      </c:catAx>
      <c:valAx>
        <c:axId val="57759232"/>
        <c:scaling>
          <c:orientation val="minMax"/>
        </c:scaling>
        <c:axPos val="l"/>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57757696"/>
        <c:crosses val="autoZero"/>
        <c:crossBetween val="between"/>
      </c:valAx>
      <c:spPr>
        <a:noFill/>
        <a:ln>
          <a:noFill/>
        </a:ln>
        <a:effectLst/>
      </c:spPr>
    </c:plotArea>
    <c:plotVisOnly val="1"/>
    <c:dispBlanksAs val="gap"/>
  </c:chart>
  <c:spPr>
    <a:solidFill>
      <a:schemeClr val="bg1"/>
    </a:solidFill>
    <a:ln w="9525" cap="flat" cmpd="sng" algn="ctr">
      <a:noFill/>
      <a:round/>
    </a:ln>
    <a:effectLst>
      <a:outerShdw blurRad="114300" dist="76200" dir="2700000" algn="tl" rotWithShape="0">
        <a:prstClr val="black">
          <a:alpha val="40000"/>
        </a:prstClr>
      </a:outerShdw>
    </a:effectLst>
  </c:spPr>
  <c:txPr>
    <a:bodyPr/>
    <a:lstStyle/>
    <a:p>
      <a:pPr>
        <a:defRPr/>
      </a:pPr>
      <a:endParaRPr lang="el-G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l-GR"/>
  <c:chart>
    <c:title>
      <c:tx>
        <c:rich>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r>
              <a:rPr lang="el-GR"/>
              <a:t>Έσοδα ΤΑ</a:t>
            </a:r>
            <a:r>
              <a:rPr lang="el-GR" baseline="0"/>
              <a:t> ΑΠΟ</a:t>
            </a:r>
            <a:r>
              <a:rPr lang="el-GR"/>
              <a:t> Τέλη και ΦΟρους </a:t>
            </a:r>
          </a:p>
        </c:rich>
      </c:tx>
      <c:spPr>
        <a:noFill/>
        <a:ln>
          <a:noFill/>
        </a:ln>
        <a:effectLst/>
      </c:spPr>
    </c:title>
    <c:plotArea>
      <c:layout/>
      <c:lineChart>
        <c:grouping val="stacked"/>
        <c:ser>
          <c:idx val="0"/>
          <c:order val="0"/>
          <c:tx>
            <c:strRef>
              <c:f>Φύλλο1!$A$66</c:f>
              <c:strCache>
                <c:ptCount val="1"/>
                <c:pt idx="0">
                  <c:v>Έσοδα από Τέλη και Φόρους </c:v>
                </c:pt>
              </c:strCache>
            </c:strRef>
          </c:tx>
          <c:spPr>
            <a:ln w="25400" cap="rnd">
              <a:solidFill>
                <a:schemeClr val="lt1"/>
              </a:solidFill>
              <a:round/>
            </a:ln>
            <a:effectLst>
              <a:outerShdw dist="25400" dir="2700000" algn="tl" rotWithShape="0">
                <a:schemeClr val="accent1"/>
              </a:outerShdw>
            </a:effectLst>
          </c:spPr>
          <c:marker>
            <c:symbol val="none"/>
          </c:marker>
          <c:dLbls>
            <c:spPr>
              <a:solidFill>
                <a:srgbClr val="5B9BD5"/>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l-GR"/>
              </a:p>
            </c:txPr>
            <c:dLblPos val="ctr"/>
            <c:showVal val="1"/>
            <c:extLs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cat>
            <c:numRef>
              <c:f>Φύλλο1!$B$65:$H$65</c:f>
              <c:numCache>
                <c:formatCode>General</c:formatCode>
                <c:ptCount val="7"/>
                <c:pt idx="0">
                  <c:v>2016</c:v>
                </c:pt>
                <c:pt idx="1">
                  <c:v>2017</c:v>
                </c:pt>
                <c:pt idx="2">
                  <c:v>2018</c:v>
                </c:pt>
                <c:pt idx="3">
                  <c:v>2018</c:v>
                </c:pt>
                <c:pt idx="4">
                  <c:v>2020</c:v>
                </c:pt>
                <c:pt idx="5">
                  <c:v>2021</c:v>
                </c:pt>
                <c:pt idx="6">
                  <c:v>2022</c:v>
                </c:pt>
              </c:numCache>
            </c:numRef>
          </c:cat>
          <c:val>
            <c:numRef>
              <c:f>Φύλλο1!$B$66:$H$66</c:f>
              <c:numCache>
                <c:formatCode>General</c:formatCode>
                <c:ptCount val="7"/>
                <c:pt idx="0">
                  <c:v>2490</c:v>
                </c:pt>
                <c:pt idx="1">
                  <c:v>2518</c:v>
                </c:pt>
                <c:pt idx="2">
                  <c:v>2531</c:v>
                </c:pt>
                <c:pt idx="3">
                  <c:v>2579</c:v>
                </c:pt>
                <c:pt idx="4">
                  <c:v>2633</c:v>
                </c:pt>
                <c:pt idx="5">
                  <c:v>2692</c:v>
                </c:pt>
                <c:pt idx="6">
                  <c:v>2755</c:v>
                </c:pt>
              </c:numCache>
            </c:numRef>
          </c:val>
        </c:ser>
        <c:dLbls>
          <c:showVal val="1"/>
        </c:dLbls>
        <c:dropLines>
          <c:spPr>
            <a:ln w="9525" cap="flat" cmpd="sng" algn="ctr">
              <a:gradFill>
                <a:gsLst>
                  <a:gs pos="0">
                    <a:schemeClr val="lt1"/>
                  </a:gs>
                  <a:gs pos="100000">
                    <a:schemeClr val="lt1">
                      <a:alpha val="0"/>
                    </a:schemeClr>
                  </a:gs>
                </a:gsLst>
                <a:lin ang="5400000" scaled="0"/>
              </a:gradFill>
              <a:round/>
            </a:ln>
            <a:effectLst/>
          </c:spPr>
        </c:dropLines>
        <c:marker val="1"/>
        <c:axId val="57870208"/>
        <c:axId val="57871744"/>
      </c:lineChart>
      <c:catAx>
        <c:axId val="5787020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spc="30" baseline="0">
                <a:solidFill>
                  <a:schemeClr val="lt1"/>
                </a:solidFill>
                <a:latin typeface="+mn-lt"/>
                <a:ea typeface="+mn-ea"/>
                <a:cs typeface="+mn-cs"/>
              </a:defRPr>
            </a:pPr>
            <a:endParaRPr lang="el-GR"/>
          </a:p>
        </c:txPr>
        <c:crossAx val="57871744"/>
        <c:crosses val="autoZero"/>
        <c:auto val="1"/>
        <c:lblAlgn val="ctr"/>
        <c:lblOffset val="100"/>
      </c:catAx>
      <c:valAx>
        <c:axId val="57871744"/>
        <c:scaling>
          <c:orientation val="minMax"/>
        </c:scaling>
        <c:delete val="1"/>
        <c:axPos val="l"/>
        <c:numFmt formatCode="General" sourceLinked="1"/>
        <c:majorTickMark val="none"/>
        <c:tickLblPos val="none"/>
        <c:crossAx val="57870208"/>
        <c:crosses val="autoZero"/>
        <c:crossBetween val="between"/>
      </c:valAx>
      <c:spPr>
        <a:noFill/>
        <a:ln>
          <a:noFill/>
        </a:ln>
        <a:effectLst/>
      </c:spPr>
    </c:plotArea>
    <c:plotVisOnly val="1"/>
    <c:dispBlanksAs val="zero"/>
  </c:chart>
  <c:spPr>
    <a:solidFill>
      <a:schemeClr val="accent1"/>
    </a:solidFill>
    <a:ln w="9525" cap="flat" cmpd="sng" algn="ctr">
      <a:solidFill>
        <a:srgbClr val="00B0F0"/>
      </a:solidFill>
      <a:round/>
    </a:ln>
    <a:effectLst>
      <a:outerShdw blurRad="152400" dist="114300" dir="2700000" algn="tl" rotWithShape="0">
        <a:prstClr val="black">
          <a:alpha val="40000"/>
        </a:prstClr>
      </a:outerShdw>
    </a:effectLst>
  </c:spPr>
  <c:txPr>
    <a:bodyPr/>
    <a:lstStyle/>
    <a:p>
      <a:pPr>
        <a:defRPr/>
      </a:pPr>
      <a:endParaRPr lang="el-G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l-GR"/>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l-GR"/>
              <a:t>Πρόβλεψη προσωπικού </a:t>
            </a:r>
          </a:p>
        </c:rich>
      </c:tx>
      <c:spPr>
        <a:noFill/>
        <a:ln>
          <a:noFill/>
        </a:ln>
        <a:effectLst/>
      </c:spPr>
    </c:title>
    <c:plotArea>
      <c:layout/>
      <c:barChart>
        <c:barDir val="col"/>
        <c:grouping val="clustered"/>
        <c:ser>
          <c:idx val="0"/>
          <c:order val="0"/>
          <c:tx>
            <c:strRef>
              <c:f>Φύλλο1!$A$3</c:f>
              <c:strCache>
                <c:ptCount val="1"/>
                <c:pt idx="0">
                  <c:v>Αποχωρήσεις</c:v>
                </c:pt>
              </c:strCache>
            </c:strRef>
          </c:tx>
          <c:spPr>
            <a:gradFill>
              <a:gsLst>
                <a:gs pos="38000">
                  <a:srgbClr val="FF0000"/>
                </a:gs>
                <a:gs pos="74000">
                  <a:srgbClr val="FD5151"/>
                </a:gs>
                <a:gs pos="91000">
                  <a:srgbClr val="FEA0A0"/>
                </a:gs>
              </a:gsLst>
              <a:lin ang="5400000" scaled="1"/>
            </a:gra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l-GR"/>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Φύλλο1!$B$2:$G$2</c:f>
              <c:numCache>
                <c:formatCode>General</c:formatCode>
                <c:ptCount val="6"/>
                <c:pt idx="0">
                  <c:v>2017</c:v>
                </c:pt>
                <c:pt idx="1">
                  <c:v>2018</c:v>
                </c:pt>
                <c:pt idx="2">
                  <c:v>2018</c:v>
                </c:pt>
                <c:pt idx="3">
                  <c:v>2020</c:v>
                </c:pt>
                <c:pt idx="4">
                  <c:v>2021</c:v>
                </c:pt>
                <c:pt idx="5">
                  <c:v>2022</c:v>
                </c:pt>
              </c:numCache>
            </c:numRef>
          </c:cat>
          <c:val>
            <c:numRef>
              <c:f>Φύλλο1!$B$3:$G$3</c:f>
              <c:numCache>
                <c:formatCode>#,##0</c:formatCode>
                <c:ptCount val="6"/>
                <c:pt idx="0">
                  <c:v>1646</c:v>
                </c:pt>
                <c:pt idx="1">
                  <c:v>1604</c:v>
                </c:pt>
                <c:pt idx="2">
                  <c:v>1633</c:v>
                </c:pt>
                <c:pt idx="3">
                  <c:v>1760</c:v>
                </c:pt>
                <c:pt idx="4">
                  <c:v>1733</c:v>
                </c:pt>
                <c:pt idx="5">
                  <c:v>2213</c:v>
                </c:pt>
              </c:numCache>
            </c:numRef>
          </c:val>
        </c:ser>
        <c:ser>
          <c:idx val="1"/>
          <c:order val="1"/>
          <c:tx>
            <c:strRef>
              <c:f>Φύλλο1!$A$4</c:f>
              <c:strCache>
                <c:ptCount val="1"/>
                <c:pt idx="0">
                  <c:v>Προσλήψεις </c:v>
                </c:pt>
              </c:strCache>
            </c:strRef>
          </c:tx>
          <c:spPr>
            <a:gradFill>
              <a:gsLst>
                <a:gs pos="38000">
                  <a:schemeClr val="accent6">
                    <a:lumMod val="50000"/>
                  </a:schemeClr>
                </a:gs>
                <a:gs pos="58000">
                  <a:schemeClr val="accent6">
                    <a:lumMod val="75000"/>
                  </a:schemeClr>
                </a:gs>
                <a:gs pos="87000">
                  <a:schemeClr val="accent6">
                    <a:lumMod val="60000"/>
                    <a:lumOff val="40000"/>
                  </a:schemeClr>
                </a:gs>
              </a:gsLst>
              <a:lin ang="5400000" scaled="1"/>
            </a:gra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l-GR"/>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Φύλλο1!$B$2:$G$2</c:f>
              <c:numCache>
                <c:formatCode>General</c:formatCode>
                <c:ptCount val="6"/>
                <c:pt idx="0">
                  <c:v>2017</c:v>
                </c:pt>
                <c:pt idx="1">
                  <c:v>2018</c:v>
                </c:pt>
                <c:pt idx="2">
                  <c:v>2018</c:v>
                </c:pt>
                <c:pt idx="3">
                  <c:v>2020</c:v>
                </c:pt>
                <c:pt idx="4">
                  <c:v>2021</c:v>
                </c:pt>
                <c:pt idx="5">
                  <c:v>2022</c:v>
                </c:pt>
              </c:numCache>
            </c:numRef>
          </c:cat>
          <c:val>
            <c:numRef>
              <c:f>Φύλλο1!$B$4:$G$4</c:f>
              <c:numCache>
                <c:formatCode>#,##0</c:formatCode>
                <c:ptCount val="6"/>
                <c:pt idx="0">
                  <c:v>2321</c:v>
                </c:pt>
                <c:pt idx="1">
                  <c:v>635</c:v>
                </c:pt>
                <c:pt idx="2">
                  <c:v>541</c:v>
                </c:pt>
                <c:pt idx="3">
                  <c:v>1969</c:v>
                </c:pt>
                <c:pt idx="4">
                  <c:v>2084</c:v>
                </c:pt>
                <c:pt idx="5">
                  <c:v>2057</c:v>
                </c:pt>
              </c:numCache>
            </c:numRef>
          </c:val>
        </c:ser>
        <c:dLbls>
          <c:showVal val="1"/>
        </c:dLbls>
        <c:gapWidth val="65"/>
        <c:axId val="58188160"/>
        <c:axId val="58189696"/>
      </c:barChart>
      <c:catAx>
        <c:axId val="58188160"/>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l-GR"/>
          </a:p>
        </c:txPr>
        <c:crossAx val="58189696"/>
        <c:crosses val="autoZero"/>
        <c:auto val="1"/>
        <c:lblAlgn val="ctr"/>
        <c:lblOffset val="100"/>
      </c:catAx>
      <c:valAx>
        <c:axId val="5818969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tickLblPos val="none"/>
        <c:crossAx val="58188160"/>
        <c:crosses val="autoZero"/>
        <c:crossBetween val="between"/>
      </c:valAx>
      <c:spPr>
        <a:noFill/>
        <a:ln>
          <a:noFill/>
        </a:ln>
        <a:effectLst/>
      </c:spPr>
    </c:plotArea>
    <c:legend>
      <c:legendPos val="b"/>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l-GR"/>
        </a:p>
      </c:txPr>
    </c:legend>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noFill/>
      <a:round/>
    </a:ln>
    <a:effectLst>
      <a:outerShdw blurRad="190500" dist="127000" dir="2700000" algn="tl" rotWithShape="0">
        <a:prstClr val="black">
          <a:alpha val="40000"/>
        </a:prstClr>
      </a:outerShdw>
    </a:effectLst>
  </c:spPr>
  <c:txPr>
    <a:bodyPr/>
    <a:lstStyle/>
    <a:p>
      <a:pPr>
        <a:defRPr/>
      </a:pPr>
      <a:endParaRPr lang="el-G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l-G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b="1"/>
              <a:t>Κοινωνικές Δαπάνες</a:t>
            </a:r>
            <a:r>
              <a:rPr lang="el-GR" b="1" baseline="0"/>
              <a:t> της ΤΑ</a:t>
            </a:r>
            <a:r>
              <a:rPr lang="el-GR" b="1"/>
              <a:t> </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line3DChart>
        <c:grouping val="standard"/>
        <c:ser>
          <c:idx val="0"/>
          <c:order val="0"/>
          <c:tx>
            <c:strRef>
              <c:f>Φύλλο1!$A$72</c:f>
              <c:strCache>
                <c:ptCount val="1"/>
                <c:pt idx="0">
                  <c:v>Κοινωνικές παροχές </c:v>
                </c:pt>
              </c:strCache>
            </c:strRef>
          </c:tx>
          <c:spPr>
            <a:solidFill>
              <a:schemeClr val="accent1"/>
            </a:solidFill>
            <a:ln>
              <a:noFill/>
            </a:ln>
            <a:effectLst/>
            <a:sp3d/>
          </c:spPr>
          <c:dLbls>
            <c:dLbl>
              <c:idx val="0"/>
              <c:layout>
                <c:manualLayout>
                  <c:x val="-2.5462668816040029E-17"/>
                  <c:y val="-5.0925925925925986E-2"/>
                </c:manualLayout>
              </c:layout>
              <c:showVal val="1"/>
              <c:extLst>
                <c:ext xmlns:c15="http://schemas.microsoft.com/office/drawing/2012/chart" uri="{CE6537A1-D6FC-4f65-9D91-7224C49458BB}"/>
              </c:extLst>
            </c:dLbl>
            <c:dLbl>
              <c:idx val="1"/>
              <c:layout>
                <c:manualLayout>
                  <c:x val="1.1111111111111117E-2"/>
                  <c:y val="-5.555555555555558E-2"/>
                </c:manualLayout>
              </c:layout>
              <c:showVal val="1"/>
              <c:extLst>
                <c:ext xmlns:c15="http://schemas.microsoft.com/office/drawing/2012/chart" uri="{CE6537A1-D6FC-4f65-9D91-7224C49458BB}"/>
              </c:extLst>
            </c:dLbl>
            <c:dLbl>
              <c:idx val="3"/>
              <c:layout>
                <c:manualLayout>
                  <c:x val="8.3333333333332361E-3"/>
                  <c:y val="-5.5555555555555643E-2"/>
                </c:manualLayout>
              </c:layout>
              <c:showVal val="1"/>
              <c:extLst>
                <c:ext xmlns:c15="http://schemas.microsoft.com/office/drawing/2012/chart" uri="{CE6537A1-D6FC-4f65-9D91-7224C49458BB}"/>
              </c:extLst>
            </c:dLbl>
            <c:dLbl>
              <c:idx val="4"/>
              <c:layout>
                <c:manualLayout>
                  <c:x val="0"/>
                  <c:y val="-5.5555555555555643E-2"/>
                </c:manualLayout>
              </c:layout>
              <c:showVal val="1"/>
              <c:extLst>
                <c:ext xmlns:c15="http://schemas.microsoft.com/office/drawing/2012/chart" uri="{CE6537A1-D6FC-4f65-9D91-7224C49458BB}"/>
              </c:extLst>
            </c:dLbl>
            <c:dLbl>
              <c:idx val="5"/>
              <c:layout>
                <c:manualLayout>
                  <c:x val="-1.018506752641601E-16"/>
                  <c:y val="-5.0925925925926027E-2"/>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Φύλλο1!$B$71:$H$71</c:f>
              <c:numCache>
                <c:formatCode>General</c:formatCode>
                <c:ptCount val="7"/>
                <c:pt idx="0">
                  <c:v>2016</c:v>
                </c:pt>
                <c:pt idx="1">
                  <c:v>2017</c:v>
                </c:pt>
                <c:pt idx="2">
                  <c:v>2018</c:v>
                </c:pt>
                <c:pt idx="3">
                  <c:v>2018</c:v>
                </c:pt>
                <c:pt idx="4">
                  <c:v>2020</c:v>
                </c:pt>
                <c:pt idx="5">
                  <c:v>2021</c:v>
                </c:pt>
                <c:pt idx="6">
                  <c:v>2022</c:v>
                </c:pt>
              </c:numCache>
            </c:numRef>
          </c:cat>
          <c:val>
            <c:numRef>
              <c:f>Φύλλο1!$B$72:$H$72</c:f>
              <c:numCache>
                <c:formatCode>General</c:formatCode>
                <c:ptCount val="7"/>
                <c:pt idx="0">
                  <c:v>894</c:v>
                </c:pt>
                <c:pt idx="1">
                  <c:v>884</c:v>
                </c:pt>
                <c:pt idx="2">
                  <c:v>885</c:v>
                </c:pt>
                <c:pt idx="3">
                  <c:v>149</c:v>
                </c:pt>
                <c:pt idx="4">
                  <c:v>151</c:v>
                </c:pt>
                <c:pt idx="5">
                  <c:v>153</c:v>
                </c:pt>
                <c:pt idx="6">
                  <c:v>156</c:v>
                </c:pt>
              </c:numCache>
            </c:numRef>
          </c:val>
        </c:ser>
        <c:dLbls>
          <c:showVal val="1"/>
        </c:dLbls>
        <c:axId val="58386688"/>
        <c:axId val="58388480"/>
        <c:axId val="58459008"/>
      </c:line3DChart>
      <c:catAx>
        <c:axId val="5838668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58388480"/>
        <c:crosses val="autoZero"/>
        <c:auto val="1"/>
        <c:lblAlgn val="ctr"/>
        <c:lblOffset val="100"/>
      </c:catAx>
      <c:valAx>
        <c:axId val="5838848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58386688"/>
        <c:crosses val="autoZero"/>
        <c:crossBetween val="between"/>
      </c:valAx>
      <c:serAx>
        <c:axId val="58459008"/>
        <c:scaling>
          <c:orientation val="minMax"/>
        </c:scaling>
        <c:delete val="1"/>
        <c:axPos val="b"/>
        <c:tickLblPos val="none"/>
        <c:crossAx val="58388480"/>
        <c:crosses val="autoZero"/>
      </c:serAx>
      <c:spPr>
        <a:noFill/>
        <a:ln>
          <a:noFill/>
        </a:ln>
        <a:effectLst/>
      </c:spPr>
    </c:plotArea>
    <c:plotVisOnly val="1"/>
    <c:dispBlanksAs val="gap"/>
  </c:chart>
  <c:spPr>
    <a:solidFill>
      <a:schemeClr val="bg1"/>
    </a:solidFill>
    <a:ln w="9525" cap="flat" cmpd="sng" algn="ctr">
      <a:noFill/>
      <a:round/>
    </a:ln>
    <a:effectLst>
      <a:outerShdw blurRad="139700" dist="88900" dir="2700000" algn="tl" rotWithShape="0">
        <a:prstClr val="black">
          <a:alpha val="40000"/>
        </a:prstClr>
      </a:outerShdw>
    </a:effectLst>
  </c:spPr>
  <c:txPr>
    <a:bodyPr/>
    <a:lstStyle/>
    <a:p>
      <a:pPr>
        <a:defRPr/>
      </a:pPr>
      <a:endParaRPr lang="el-GR"/>
    </a:p>
  </c:txPr>
  <c:externalData r:id="rId1"/>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1195</Words>
  <Characters>6456</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rallis gkekas</dc:creator>
  <cp:lastModifiedBy>sotiriadou</cp:lastModifiedBy>
  <cp:revision>3</cp:revision>
  <cp:lastPrinted>2018-06-09T14:29:00Z</cp:lastPrinted>
  <dcterms:created xsi:type="dcterms:W3CDTF">2018-06-12T08:15:00Z</dcterms:created>
  <dcterms:modified xsi:type="dcterms:W3CDTF">2018-06-12T08:15:00Z</dcterms:modified>
</cp:coreProperties>
</file>