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AE" w:rsidRPr="00B142AE" w:rsidRDefault="00B142AE" w:rsidP="00B142AE">
      <w:pPr>
        <w:shd w:val="clear" w:color="auto" w:fill="FFFFFF"/>
        <w:spacing w:after="0" w:line="240" w:lineRule="auto"/>
        <w:rPr>
          <w:rFonts w:ascii="Arial Narrow" w:eastAsia="Times New Roman" w:hAnsi="Arial Narrow" w:cs="Arial"/>
          <w:bCs/>
          <w:color w:val="000000"/>
          <w:sz w:val="24"/>
          <w:szCs w:val="24"/>
        </w:rPr>
      </w:pPr>
      <w:bookmarkStart w:id="0" w:name="_GoBack"/>
      <w:bookmarkEnd w:id="0"/>
      <w:r w:rsidRPr="00B142AE">
        <w:rPr>
          <w:rFonts w:ascii="Arial Narrow" w:eastAsia="Times New Roman" w:hAnsi="Arial Narrow" w:cs="Arial"/>
          <w:bCs/>
          <w:color w:val="000000"/>
          <w:sz w:val="24"/>
          <w:szCs w:val="24"/>
        </w:rPr>
        <w:br/>
      </w:r>
    </w:p>
    <w:tbl>
      <w:tblPr>
        <w:tblpPr w:leftFromText="45" w:rightFromText="45" w:vertAnchor="text"/>
        <w:tblW w:w="9945" w:type="dxa"/>
        <w:tblCellSpacing w:w="0" w:type="dxa"/>
        <w:tblCellMar>
          <w:left w:w="0" w:type="dxa"/>
          <w:right w:w="0" w:type="dxa"/>
        </w:tblCellMar>
        <w:tblLook w:val="04A0"/>
      </w:tblPr>
      <w:tblGrid>
        <w:gridCol w:w="9945"/>
      </w:tblGrid>
      <w:tr w:rsidR="00B142AE" w:rsidRPr="00FF7E86" w:rsidTr="00ED3C0A">
        <w:trPr>
          <w:tblCellSpacing w:w="0" w:type="dxa"/>
        </w:trPr>
        <w:tc>
          <w:tcPr>
            <w:tcW w:w="0" w:type="auto"/>
            <w:tcMar>
              <w:top w:w="0" w:type="dxa"/>
              <w:left w:w="180" w:type="dxa"/>
              <w:bottom w:w="0" w:type="dxa"/>
              <w:right w:w="180" w:type="dxa"/>
            </w:tcMar>
            <w:hideMark/>
          </w:tcPr>
          <w:p w:rsidR="00B142AE" w:rsidRPr="00FF7E86" w:rsidRDefault="00B142AE" w:rsidP="00ED3C0A">
            <w:pPr>
              <w:spacing w:after="0" w:line="240" w:lineRule="auto"/>
              <w:rPr>
                <w:rFonts w:ascii="Times New Roman" w:eastAsia="Times New Roman" w:hAnsi="Times New Roman" w:cs="Times New Roman"/>
                <w:sz w:val="24"/>
                <w:szCs w:val="24"/>
              </w:rPr>
            </w:pPr>
            <w:r w:rsidRPr="00FF7E86">
              <w:rPr>
                <w:noProof/>
              </w:rPr>
              <w:drawing>
                <wp:inline distT="0" distB="0" distL="0" distR="0">
                  <wp:extent cx="542925" cy="571500"/>
                  <wp:effectExtent l="19050" t="0" r="9525" b="0"/>
                  <wp:docPr id="1"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4"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r w:rsidRPr="00FF7E86">
              <w:rPr>
                <w:rFonts w:ascii="Arial" w:eastAsia="Times New Roman" w:hAnsi="Arial" w:cs="Arial"/>
                <w:b/>
                <w:bCs/>
                <w:sz w:val="20"/>
                <w:szCs w:val="20"/>
              </w:rPr>
              <w:br/>
            </w:r>
            <w:r w:rsidRPr="00FF7E86">
              <w:rPr>
                <w:rFonts w:ascii="Arial" w:eastAsia="Times New Roman" w:hAnsi="Arial" w:cs="Arial"/>
                <w:b/>
                <w:bCs/>
                <w:sz w:val="20"/>
                <w:szCs w:val="20"/>
              </w:rPr>
              <w:br/>
              <w:t>ΕΛΛΗΝΙΚΗ ΔΗΜΟΚΡΑΤΙΑ</w:t>
            </w:r>
          </w:p>
          <w:p w:rsidR="00B142AE" w:rsidRPr="00FF7E86" w:rsidRDefault="00B142AE" w:rsidP="00ED3C0A">
            <w:pPr>
              <w:spacing w:after="0" w:line="240" w:lineRule="auto"/>
              <w:rPr>
                <w:rFonts w:ascii="Times New Roman" w:eastAsia="Times New Roman" w:hAnsi="Times New Roman" w:cs="Times New Roman"/>
                <w:sz w:val="24"/>
                <w:szCs w:val="24"/>
              </w:rPr>
            </w:pPr>
            <w:r w:rsidRPr="00FF7E86">
              <w:rPr>
                <w:rFonts w:ascii="Arial" w:eastAsia="Times New Roman" w:hAnsi="Arial" w:cs="Arial"/>
                <w:b/>
                <w:bCs/>
                <w:sz w:val="20"/>
                <w:szCs w:val="20"/>
              </w:rPr>
              <w:t>ΥΠΟΥΡΓΕΙΟ ΕΣΩΤΕΡΙΚΩΝ</w:t>
            </w:r>
          </w:p>
          <w:p w:rsidR="00B142AE" w:rsidRPr="00FF7E86" w:rsidRDefault="00B142AE" w:rsidP="00ED3C0A">
            <w:pPr>
              <w:spacing w:after="0" w:line="240" w:lineRule="auto"/>
              <w:rPr>
                <w:rFonts w:ascii="Times New Roman" w:eastAsia="Times New Roman" w:hAnsi="Times New Roman" w:cs="Times New Roman"/>
                <w:sz w:val="24"/>
                <w:szCs w:val="24"/>
              </w:rPr>
            </w:pPr>
            <w:r w:rsidRPr="00FF7E86">
              <w:rPr>
                <w:rFonts w:ascii="Arial" w:eastAsia="Times New Roman" w:hAnsi="Arial" w:cs="Arial"/>
                <w:b/>
                <w:bCs/>
                <w:sz w:val="20"/>
                <w:szCs w:val="20"/>
              </w:rPr>
              <w:t>ΓΡΑΦΕΙΟ ΥΦΥΠΟΥΡΓΟΥ</w:t>
            </w:r>
          </w:p>
        </w:tc>
      </w:tr>
    </w:tbl>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FF7E86">
        <w:rPr>
          <w:rFonts w:ascii="Arial" w:eastAsia="Times New Roman" w:hAnsi="Arial" w:cs="Arial"/>
          <w:color w:val="5E5E5E"/>
          <w:sz w:val="24"/>
          <w:szCs w:val="24"/>
        </w:rPr>
        <w:br/>
      </w:r>
      <w:r w:rsidRPr="00FF7E86">
        <w:rPr>
          <w:rFonts w:ascii="Calibri" w:eastAsia="Times New Roman" w:hAnsi="Calibri" w:cs="Calibri"/>
          <w:color w:val="5E5E5E"/>
        </w:rPr>
        <w:t>                         </w:t>
      </w:r>
      <w:r w:rsidRPr="00B142AE">
        <w:rPr>
          <w:rFonts w:ascii="Arial Narrow" w:eastAsia="Times New Roman" w:hAnsi="Arial Narrow" w:cs="Arial"/>
          <w:bCs/>
          <w:color w:val="000000"/>
          <w:sz w:val="24"/>
          <w:szCs w:val="24"/>
        </w:rPr>
        <w:br/>
        <w:t>ΒΑΣΙΚΑ ΣΤΟΙΧΕΙΑ – ΚΑΙΝΟΤΟΜΙΕΣ ΝΟΜΟΥ ΓΙΑ ΙΣΟΤΗΤΑ ΦΥΛΩΝ</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bCs/>
          <w:color w:val="000000"/>
          <w:sz w:val="24"/>
          <w:szCs w:val="24"/>
          <w:u w:val="single"/>
        </w:rPr>
        <w:t>Για 1η φορά</w:t>
      </w:r>
      <w:r w:rsidRPr="00B142AE">
        <w:rPr>
          <w:rFonts w:ascii="Arial Narrow" w:eastAsia="Times New Roman" w:hAnsi="Arial Narrow" w:cs="Arial"/>
          <w:color w:val="000000"/>
          <w:sz w:val="24"/>
          <w:szCs w:val="24"/>
          <w:u w:val="single"/>
        </w:rPr>
        <w:t> θεσμοθετείται</w:t>
      </w:r>
      <w:r w:rsidRPr="00B142AE">
        <w:rPr>
          <w:rFonts w:ascii="Arial Narrow" w:eastAsia="Times New Roman" w:hAnsi="Arial Narrow" w:cs="Arial"/>
          <w:color w:val="000000"/>
          <w:sz w:val="24"/>
          <w:szCs w:val="24"/>
        </w:rPr>
        <w:t xml:space="preserve"> η ισότητα των φύλων σε κάθε πεδίο της κοινωνικής δραστηριότητας. Στον ιδιωτικό, στον δημόσιο, επαγγελματικό και οικογενειακό χώρο, δημιουργεί προϋποθέσεις </w:t>
      </w:r>
      <w:r w:rsidR="002C5C0E" w:rsidRPr="00B142AE">
        <w:rPr>
          <w:rFonts w:ascii="Arial Narrow" w:eastAsia="Times New Roman" w:hAnsi="Arial Narrow" w:cs="Arial"/>
          <w:color w:val="000000"/>
          <w:sz w:val="24"/>
          <w:szCs w:val="24"/>
        </w:rPr>
        <w:t>εξάλειψης</w:t>
      </w:r>
      <w:r w:rsidRPr="00B142AE">
        <w:rPr>
          <w:rFonts w:ascii="Arial Narrow" w:eastAsia="Times New Roman" w:hAnsi="Arial Narrow" w:cs="Arial"/>
          <w:color w:val="000000"/>
          <w:sz w:val="24"/>
          <w:szCs w:val="24"/>
        </w:rPr>
        <w:t xml:space="preserve"> των </w:t>
      </w:r>
      <w:proofErr w:type="spellStart"/>
      <w:r w:rsidRPr="00B142AE">
        <w:rPr>
          <w:rFonts w:ascii="Arial Narrow" w:eastAsia="Times New Roman" w:hAnsi="Arial Narrow" w:cs="Arial"/>
          <w:color w:val="000000"/>
          <w:sz w:val="24"/>
          <w:szCs w:val="24"/>
        </w:rPr>
        <w:t>έμφυλων</w:t>
      </w:r>
      <w:proofErr w:type="spellEnd"/>
      <w:r w:rsidRPr="00B142AE">
        <w:rPr>
          <w:rFonts w:ascii="Arial Narrow" w:eastAsia="Times New Roman" w:hAnsi="Arial Narrow" w:cs="Arial"/>
          <w:color w:val="000000"/>
          <w:sz w:val="24"/>
          <w:szCs w:val="24"/>
        </w:rPr>
        <w:t xml:space="preserve"> </w:t>
      </w:r>
      <w:r w:rsidR="002C5C0E" w:rsidRPr="00B142AE">
        <w:rPr>
          <w:rFonts w:ascii="Arial Narrow" w:eastAsia="Times New Roman" w:hAnsi="Arial Narrow" w:cs="Arial"/>
          <w:color w:val="000000"/>
          <w:sz w:val="24"/>
          <w:szCs w:val="24"/>
        </w:rPr>
        <w:t>διακρίσεων</w:t>
      </w:r>
      <w:r w:rsidRPr="00B142AE">
        <w:rPr>
          <w:rFonts w:ascii="Arial Narrow" w:eastAsia="Times New Roman" w:hAnsi="Arial Narrow" w:cs="Arial"/>
          <w:color w:val="000000"/>
          <w:sz w:val="24"/>
          <w:szCs w:val="24"/>
        </w:rPr>
        <w:t>.</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bCs/>
          <w:color w:val="000000"/>
          <w:sz w:val="24"/>
          <w:szCs w:val="24"/>
          <w:u w:val="single"/>
        </w:rPr>
        <w:t>- Σε επίπεδο Τοπικής Αυτοδιοίκησης</w:t>
      </w:r>
      <w:r w:rsidRPr="00B142AE">
        <w:rPr>
          <w:rFonts w:ascii="Arial Narrow" w:eastAsia="Times New Roman" w:hAnsi="Arial Narrow" w:cs="Arial"/>
          <w:color w:val="000000"/>
          <w:sz w:val="24"/>
          <w:szCs w:val="24"/>
        </w:rPr>
        <w:t> (Δήμοι και Περιφέρειες):</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Σχεδίαση,  οργάνωση,  συντονισμός και  εφαρμογή προγραμμάτων προώθησης της ισότητας των φύλων, σύμφωνα με τις πολιτικές της ΓΓΙΦ και το Εθνικό Σχέδιο Δράσης για την Ισότητα των Φύλων. Δημιουργούνται δυνατότητες για  πρωτοβουλίες με στόχο την προώθηση της ισότητας των φύλων εντός των διοικητικών ορίων των ΟΤΑ. </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Σύσταση Δημοτικών και Περιφερειακών Επιτροπών Ισότητας ως τοπικών θεσμών προώθησης των προαναφερθέντων πολιτικών. Δημιουργείται έτσι, μετά τις προσεχείς εκλογές, ένα νέο πανελλαδικό δίκτυο υποστήριξης των πολιτικών Ισότητας Φύλων κοντά στις τοπικές κοινωνίας.</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Σε επίπεδο Κεντρικής Διοίκησης:</w:t>
      </w:r>
      <w:r w:rsidRPr="00B142AE">
        <w:rPr>
          <w:rFonts w:ascii="Arial Narrow" w:eastAsia="Times New Roman" w:hAnsi="Arial Narrow" w:cs="Arial"/>
          <w:color w:val="000000"/>
          <w:sz w:val="24"/>
          <w:szCs w:val="24"/>
          <w:u w:val="single"/>
        </w:rPr>
        <w:t> </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Υποχρεωτική παρουσίαση δράσεων, μέτρων και προγραμμάτων σχετικά με την εξάλειψη  των διακρίσεων με βάση το φύλο και αντίστοιχη χρηματοδότηση.</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bCs/>
          <w:color w:val="000000"/>
          <w:sz w:val="24"/>
          <w:szCs w:val="24"/>
          <w:u w:val="single"/>
        </w:rPr>
        <w:t>- Απαγόρευση χρήσης γλώσσας</w:t>
      </w:r>
      <w:r w:rsidRPr="00B142AE">
        <w:rPr>
          <w:rFonts w:ascii="Arial Narrow" w:eastAsia="Times New Roman" w:hAnsi="Arial Narrow" w:cs="Arial"/>
          <w:bCs/>
          <w:color w:val="000000"/>
          <w:sz w:val="24"/>
          <w:szCs w:val="24"/>
        </w:rPr>
        <w:t> </w:t>
      </w:r>
      <w:r w:rsidRPr="00B142AE">
        <w:rPr>
          <w:rFonts w:ascii="Arial Narrow" w:eastAsia="Times New Roman" w:hAnsi="Arial Narrow" w:cs="Arial"/>
          <w:color w:val="000000"/>
          <w:sz w:val="24"/>
          <w:szCs w:val="24"/>
        </w:rPr>
        <w:t xml:space="preserve">που υποκρύπτει ή εμπεριέχει </w:t>
      </w:r>
      <w:proofErr w:type="spellStart"/>
      <w:r w:rsidRPr="00B142AE">
        <w:rPr>
          <w:rFonts w:ascii="Arial Narrow" w:eastAsia="Times New Roman" w:hAnsi="Arial Narrow" w:cs="Arial"/>
          <w:color w:val="000000"/>
          <w:sz w:val="24"/>
          <w:szCs w:val="24"/>
        </w:rPr>
        <w:t>έμφυλη</w:t>
      </w:r>
      <w:proofErr w:type="spellEnd"/>
      <w:r w:rsidRPr="00B142AE">
        <w:rPr>
          <w:rFonts w:ascii="Arial Narrow" w:eastAsia="Times New Roman" w:hAnsi="Arial Narrow" w:cs="Arial"/>
          <w:color w:val="000000"/>
          <w:sz w:val="24"/>
          <w:szCs w:val="24"/>
        </w:rPr>
        <w:t xml:space="preserve"> διάκριση στα διοικητικά έγγραφα.</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Συμμετοχή γυναικών στα κοινά:</w:t>
      </w:r>
    </w:p>
    <w:p w:rsidR="00B142AE" w:rsidRPr="00766391"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Για την ανακήρυξη των εκλογικών συνδυασμών, ο αριθμός των υποψηφίων βουλευτών, από κάθε φύλο, πρέπει να ανέρχεται σε ποσοστό τουλάχιστον ίσο με το 40% του συνολικού αριθμού των υποψηφίων, αντιστοίχως,  </w:t>
      </w:r>
      <w:r w:rsidRPr="00B142AE">
        <w:rPr>
          <w:rFonts w:ascii="Arial Narrow" w:eastAsia="Times New Roman" w:hAnsi="Arial Narrow" w:cs="Arial"/>
          <w:color w:val="000000"/>
          <w:sz w:val="24"/>
          <w:szCs w:val="24"/>
          <w:u w:val="single"/>
        </w:rPr>
        <w:t>ανά εκλογική περιφέρεια.</w:t>
      </w:r>
      <w:r w:rsidR="00766391" w:rsidRPr="00766391">
        <w:rPr>
          <w:rFonts w:ascii="Arial Narrow" w:eastAsia="Times New Roman" w:hAnsi="Arial Narrow" w:cs="Arial"/>
          <w:color w:val="000000"/>
          <w:sz w:val="24"/>
          <w:szCs w:val="24"/>
        </w:rPr>
        <w:t xml:space="preserve"> (</w:t>
      </w:r>
      <w:r w:rsidR="00766391">
        <w:rPr>
          <w:rFonts w:ascii="Arial Narrow" w:eastAsia="Times New Roman" w:hAnsi="Arial Narrow" w:cs="Arial"/>
          <w:color w:val="000000"/>
          <w:sz w:val="24"/>
          <w:szCs w:val="24"/>
        </w:rPr>
        <w:t>όχι 1/3 ανά την επικράτεια)</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Καινοτομίες στην εκπαίδευση:</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Εντάσσει την οπτική του φύλου και την σεξουαλική αγωγή και υγεία, με γνώμονα την ισότητα των φύλων, οριζόντια στην πρωτοβάθμια και δευτεροβάθμια εκπαίδευση.</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Παρέμβαση στον τομέα της Υγείας:</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roofErr w:type="spellStart"/>
      <w:r w:rsidRPr="00B142AE">
        <w:rPr>
          <w:rFonts w:ascii="Arial Narrow" w:eastAsia="Times New Roman" w:hAnsi="Arial Narrow" w:cs="Arial"/>
          <w:color w:val="000000"/>
          <w:sz w:val="24"/>
          <w:szCs w:val="24"/>
        </w:rPr>
        <w:t>Xορήγηση</w:t>
      </w:r>
      <w:proofErr w:type="spellEnd"/>
      <w:r w:rsidRPr="00B142AE">
        <w:rPr>
          <w:rFonts w:ascii="Arial Narrow" w:eastAsia="Times New Roman" w:hAnsi="Arial Narrow" w:cs="Arial"/>
          <w:color w:val="000000"/>
          <w:sz w:val="24"/>
          <w:szCs w:val="24"/>
        </w:rPr>
        <w:t xml:space="preserve"> άδειας επτά (7) εργάσιμων ημερών, με πλήρεις αποδοχές, μετά από βεβαίωση του θεράποντος ιατρού μονάδας ιατρικώς υποβοηθούμενης αναπαραγωγής.</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Κοινωνική Αλληλεγγύη</w:t>
      </w:r>
      <w:r w:rsidRPr="00B142AE">
        <w:rPr>
          <w:rFonts w:ascii="Arial Narrow" w:eastAsia="Times New Roman" w:hAnsi="Arial Narrow" w:cs="Arial"/>
          <w:color w:val="000000"/>
          <w:sz w:val="24"/>
          <w:szCs w:val="24"/>
          <w:u w:val="single"/>
        </w:rPr>
        <w:t> ευπαθών ομάδων γυναικών.</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Σχεδιασμός προγραμμάτων κοινωνικής προστασίας, τα οποία επικεντρώνονται ιδίως στην ενίσχυση ευπαθών ομάδων γυναικών.</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Καινοτομίες στον επαγγελματικό τομέα.</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Εξάλειψη παραγόντων που ευνοούν τις διακρίσεις λόγω φύλου στο εργασιακό περιβάλλον και υλοποίηση Σχεδίων Ισότητας, τα οποία καταρτίζονται ύστερα από ενημέρωση και διαβούλευση με τις/τους εκπροσώπους των εργαζομένων. Ειδικές ρυθμίσεις για μεγάλες επιχειρήσεις με πάνω από 50 εργαζόμενους με υποχρέωση εκπόνησης σχεδίου ισότητας.</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Καινοτομίες στα ΜΜΕ</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Προώθηση της ουσιαστικής ισότητας των φύλων με την προβολή μιας ισότιμης και απαλλαγμένης από στερεότυπα εικόνας του γυναικείου φύλου, υιοθέτηση κωδίκων δεοντολογίας και συμβάσεων αυτοδέσμευσης, ισότιμη προβολή γυναικών σε κάθε τομέα της ζωής της χώρας (κοινωνικά-πολιτικά-οικονομικά-</w:t>
      </w:r>
      <w:proofErr w:type="spellStart"/>
      <w:r w:rsidRPr="00B142AE">
        <w:rPr>
          <w:rFonts w:ascii="Arial Narrow" w:eastAsia="Times New Roman" w:hAnsi="Arial Narrow" w:cs="Arial"/>
          <w:color w:val="000000"/>
          <w:sz w:val="24"/>
          <w:szCs w:val="24"/>
        </w:rPr>
        <w:t>πολιτιστικά</w:t>
      </w:r>
      <w:proofErr w:type="spellEnd"/>
      <w:r w:rsidRPr="00B142AE">
        <w:rPr>
          <w:rFonts w:ascii="Arial Narrow" w:eastAsia="Times New Roman" w:hAnsi="Arial Narrow" w:cs="Arial"/>
          <w:color w:val="000000"/>
          <w:sz w:val="24"/>
          <w:szCs w:val="24"/>
        </w:rPr>
        <w:t>)</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 xml:space="preserve">Απαγόρευση διαφημιστικών, τηλεοπτικών ή ραδιοφωνικών, μηνυμάτων, με χρήση λόγου που εμπεριέχει </w:t>
      </w:r>
      <w:proofErr w:type="spellStart"/>
      <w:r w:rsidRPr="00B142AE">
        <w:rPr>
          <w:rFonts w:ascii="Arial Narrow" w:eastAsia="Times New Roman" w:hAnsi="Arial Narrow" w:cs="Arial"/>
          <w:color w:val="000000"/>
          <w:sz w:val="24"/>
          <w:szCs w:val="24"/>
        </w:rPr>
        <w:t>έμφυλη</w:t>
      </w:r>
      <w:proofErr w:type="spellEnd"/>
      <w:r w:rsidRPr="00B142AE">
        <w:rPr>
          <w:rFonts w:ascii="Arial Narrow" w:eastAsia="Times New Roman" w:hAnsi="Arial Narrow" w:cs="Arial"/>
          <w:color w:val="000000"/>
          <w:sz w:val="24"/>
          <w:szCs w:val="24"/>
        </w:rPr>
        <w:t xml:space="preserve"> διάκριση.</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u w:val="single"/>
        </w:rPr>
      </w:pPr>
      <w:r w:rsidRPr="00B142AE">
        <w:rPr>
          <w:rFonts w:ascii="Arial Narrow" w:eastAsia="Times New Roman" w:hAnsi="Arial Narrow" w:cs="Arial"/>
          <w:bCs/>
          <w:color w:val="000000"/>
          <w:sz w:val="24"/>
          <w:szCs w:val="24"/>
          <w:u w:val="single"/>
        </w:rPr>
        <w:t>- Νομοθετική πρόβλεψη για την λειτουργία Δομών Υποστήριξης </w:t>
      </w:r>
      <w:r w:rsidRPr="00B142AE">
        <w:rPr>
          <w:rFonts w:ascii="Arial Narrow" w:eastAsia="Times New Roman" w:hAnsi="Arial Narrow" w:cs="Arial"/>
          <w:color w:val="000000"/>
          <w:sz w:val="24"/>
          <w:szCs w:val="24"/>
          <w:u w:val="single"/>
        </w:rPr>
        <w:t>γυναικών θυμάτων βίας και Ξενώνων.</w:t>
      </w:r>
    </w:p>
    <w:p w:rsidR="00B142AE" w:rsidRPr="00B142AE" w:rsidRDefault="00B142AE" w:rsidP="00B142AE">
      <w:pPr>
        <w:shd w:val="clear" w:color="auto" w:fill="FFFFFF"/>
        <w:spacing w:after="0" w:line="240" w:lineRule="auto"/>
        <w:rPr>
          <w:rFonts w:ascii="Arial Narrow" w:eastAsia="Times New Roman" w:hAnsi="Arial Narrow" w:cs="Arial"/>
          <w:color w:val="000000"/>
          <w:sz w:val="24"/>
          <w:szCs w:val="24"/>
        </w:rPr>
      </w:pPr>
      <w:r w:rsidRPr="00B142AE">
        <w:rPr>
          <w:rFonts w:ascii="Arial Narrow" w:eastAsia="Times New Roman" w:hAnsi="Arial Narrow" w:cs="Arial"/>
          <w:color w:val="000000"/>
          <w:sz w:val="24"/>
          <w:szCs w:val="24"/>
        </w:rPr>
        <w:t xml:space="preserve">Οι δομές εντάσσονται στο κρατικό </w:t>
      </w:r>
      <w:proofErr w:type="spellStart"/>
      <w:r w:rsidRPr="00B142AE">
        <w:rPr>
          <w:rFonts w:ascii="Arial Narrow" w:eastAsia="Times New Roman" w:hAnsi="Arial Narrow" w:cs="Arial"/>
          <w:color w:val="000000"/>
          <w:sz w:val="24"/>
          <w:szCs w:val="24"/>
        </w:rPr>
        <w:t>προνοιακό</w:t>
      </w:r>
      <w:proofErr w:type="spellEnd"/>
      <w:r w:rsidRPr="00B142AE">
        <w:rPr>
          <w:rFonts w:ascii="Arial Narrow" w:eastAsia="Times New Roman" w:hAnsi="Arial Narrow" w:cs="Arial"/>
          <w:color w:val="000000"/>
          <w:sz w:val="24"/>
          <w:szCs w:val="24"/>
        </w:rPr>
        <w:t xml:space="preserve"> σύστημα, και θεσμοθετείται η χρηματοδότηση τους από τον κρατικό προϋπολογισμό, ενώ διευκολύνεται η πρόσβαση γυναικών μεταναστριών και επεκτείνεται η χρήση κρίσιμων ξένων γλωσσών για θύματα προερχόμενα από χώρες που εμφανίζουν μεγάλα ποσοστά στο </w:t>
      </w:r>
      <w:proofErr w:type="spellStart"/>
      <w:r w:rsidRPr="00B142AE">
        <w:rPr>
          <w:rFonts w:ascii="Arial Narrow" w:eastAsia="Times New Roman" w:hAnsi="Arial Narrow" w:cs="Arial"/>
          <w:color w:val="000000"/>
          <w:sz w:val="24"/>
          <w:szCs w:val="24"/>
        </w:rPr>
        <w:t>Trafficking</w:t>
      </w:r>
      <w:proofErr w:type="spellEnd"/>
      <w:r w:rsidRPr="00B142AE">
        <w:rPr>
          <w:rFonts w:ascii="Arial Narrow" w:eastAsia="Times New Roman" w:hAnsi="Arial Narrow" w:cs="Arial"/>
          <w:color w:val="000000"/>
          <w:sz w:val="24"/>
          <w:szCs w:val="24"/>
        </w:rPr>
        <w:t>.</w:t>
      </w:r>
    </w:p>
    <w:p w:rsidR="00B142AE" w:rsidRPr="00B142AE" w:rsidRDefault="00B142AE" w:rsidP="00B142AE">
      <w:pPr>
        <w:rPr>
          <w:rFonts w:ascii="Arial Narrow" w:hAnsi="Arial Narrow"/>
          <w:sz w:val="24"/>
          <w:szCs w:val="24"/>
        </w:rPr>
      </w:pPr>
    </w:p>
    <w:p w:rsidR="00E96488" w:rsidRDefault="00E96488">
      <w:pPr>
        <w:rPr>
          <w:rFonts w:ascii="Arial Narrow" w:hAnsi="Arial Narrow"/>
          <w:sz w:val="24"/>
          <w:szCs w:val="24"/>
          <w:lang w:val="en-US"/>
        </w:rPr>
      </w:pPr>
    </w:p>
    <w:p w:rsidR="00B142AE" w:rsidRDefault="00B142AE">
      <w:pPr>
        <w:rPr>
          <w:rFonts w:ascii="Arial Narrow" w:hAnsi="Arial Narrow"/>
          <w:sz w:val="24"/>
          <w:szCs w:val="24"/>
          <w:lang w:val="en-US"/>
        </w:rPr>
      </w:pPr>
    </w:p>
    <w:p w:rsidR="00B142AE" w:rsidRDefault="00B142AE">
      <w:pPr>
        <w:rPr>
          <w:rFonts w:ascii="Arial Narrow" w:hAnsi="Arial Narrow"/>
          <w:sz w:val="24"/>
          <w:szCs w:val="24"/>
          <w:lang w:val="en-US"/>
        </w:rPr>
      </w:pPr>
    </w:p>
    <w:p w:rsidR="00B142AE" w:rsidRDefault="00B142AE">
      <w:pPr>
        <w:rPr>
          <w:rFonts w:ascii="Arial Narrow" w:hAnsi="Arial Narrow"/>
          <w:sz w:val="24"/>
          <w:szCs w:val="24"/>
          <w:lang w:val="en-US"/>
        </w:rPr>
      </w:pPr>
    </w:p>
    <w:p w:rsidR="00B142AE" w:rsidRPr="00B142AE" w:rsidRDefault="00B142AE">
      <w:pPr>
        <w:rPr>
          <w:rFonts w:ascii="Arial Narrow" w:hAnsi="Arial Narrow"/>
          <w:sz w:val="24"/>
          <w:szCs w:val="24"/>
        </w:rPr>
      </w:pPr>
      <w:r w:rsidRPr="00857940">
        <w:rPr>
          <w:rFonts w:ascii="Arial Narrow" w:eastAsia="Times New Roman" w:hAnsi="Arial Narrow" w:cs="Arial"/>
        </w:rPr>
        <w:t>____________________________________________________________</w:t>
      </w:r>
      <w:r>
        <w:rPr>
          <w:rFonts w:ascii="Arial Narrow" w:eastAsia="Times New Roman" w:hAnsi="Arial Narrow" w:cs="Arial"/>
        </w:rPr>
        <w:t>____________________</w:t>
      </w:r>
      <w:r w:rsidRPr="00857940">
        <w:rPr>
          <w:rFonts w:ascii="Arial Narrow" w:eastAsia="Times New Roman" w:hAnsi="Arial Narrow" w:cs="Arial"/>
        </w:rPr>
        <w:br/>
      </w:r>
      <w:r w:rsidRPr="00857940">
        <w:rPr>
          <w:rFonts w:ascii="Arial Narrow" w:eastAsia="Times New Roman" w:hAnsi="Arial Narrow" w:cs="Arial"/>
          <w:b/>
          <w:bCs/>
          <w:sz w:val="20"/>
          <w:szCs w:val="20"/>
        </w:rPr>
        <w:t>Γραφείο Τύπου | </w:t>
      </w:r>
      <w:r>
        <w:rPr>
          <w:rFonts w:ascii="Arial Narrow" w:eastAsia="Times New Roman" w:hAnsi="Arial Narrow" w:cs="Arial"/>
          <w:sz w:val="20"/>
          <w:szCs w:val="20"/>
        </w:rPr>
        <w:t xml:space="preserve"> κ.: 6985 053704, τ.: 213 1364432.</w:t>
      </w:r>
      <w:r w:rsidRPr="00857940">
        <w:rPr>
          <w:rFonts w:ascii="Arial Narrow" w:eastAsia="Times New Roman" w:hAnsi="Arial Narrow" w:cs="Arial"/>
          <w:sz w:val="20"/>
          <w:szCs w:val="20"/>
        </w:rPr>
        <w:t> </w:t>
      </w:r>
      <w:r w:rsidRPr="00857940">
        <w:rPr>
          <w:rFonts w:ascii="Arial Narrow" w:eastAsia="Times New Roman" w:hAnsi="Arial Narrow" w:cs="Arial"/>
          <w:sz w:val="20"/>
          <w:szCs w:val="20"/>
        </w:rPr>
        <w:br/>
      </w:r>
      <w:r>
        <w:rPr>
          <w:rFonts w:ascii="Arial Narrow" w:eastAsia="Times New Roman" w:hAnsi="Arial Narrow" w:cs="Arial"/>
          <w:sz w:val="20"/>
          <w:szCs w:val="20"/>
        </w:rPr>
        <w:t>Αθήνα</w:t>
      </w:r>
      <w:r w:rsidRPr="00C6214D">
        <w:rPr>
          <w:rFonts w:ascii="Arial Narrow" w:eastAsia="Times New Roman" w:hAnsi="Arial Narrow" w:cs="Arial"/>
          <w:sz w:val="20"/>
          <w:szCs w:val="20"/>
        </w:rPr>
        <w:t xml:space="preserve">, </w:t>
      </w:r>
      <w:r w:rsidRPr="00857940">
        <w:rPr>
          <w:rFonts w:ascii="Arial Narrow" w:eastAsia="Times New Roman" w:hAnsi="Arial Narrow" w:cs="Arial"/>
          <w:sz w:val="20"/>
          <w:szCs w:val="20"/>
        </w:rPr>
        <w:t>Δ/</w:t>
      </w:r>
      <w:proofErr w:type="spellStart"/>
      <w:r w:rsidRPr="00857940">
        <w:rPr>
          <w:rFonts w:ascii="Arial Narrow" w:eastAsia="Times New Roman" w:hAnsi="Arial Narrow" w:cs="Arial"/>
          <w:sz w:val="20"/>
          <w:szCs w:val="20"/>
        </w:rPr>
        <w:t>νση:</w:t>
      </w:r>
      <w:proofErr w:type="spellEnd"/>
      <w:r w:rsidRPr="00857940">
        <w:rPr>
          <w:rFonts w:ascii="Arial Narrow" w:eastAsia="Times New Roman" w:hAnsi="Arial Narrow" w:cs="Arial"/>
          <w:sz w:val="20"/>
          <w:szCs w:val="20"/>
        </w:rPr>
        <w:t xml:space="preserve"> Σταδίου 27 και Δραγατσανίου 2, Τ.Κ.: 101 83. </w:t>
      </w:r>
      <w:r w:rsidRPr="00857940">
        <w:rPr>
          <w:rFonts w:ascii="Arial Narrow" w:eastAsia="Times New Roman" w:hAnsi="Arial Narrow" w:cs="Arial"/>
          <w:sz w:val="20"/>
          <w:szCs w:val="20"/>
          <w:lang w:val="en-US"/>
        </w:rPr>
        <w:t>m</w:t>
      </w:r>
      <w:r w:rsidRPr="00857940">
        <w:rPr>
          <w:rFonts w:ascii="Arial Narrow" w:eastAsia="Times New Roman" w:hAnsi="Arial Narrow" w:cs="Arial"/>
          <w:sz w:val="20"/>
          <w:szCs w:val="20"/>
        </w:rPr>
        <w:t>.: </w:t>
      </w:r>
      <w:hyperlink r:id="rId5" w:history="1">
        <w:r w:rsidRPr="004E5876">
          <w:rPr>
            <w:rFonts w:ascii="Arial Narrow" w:eastAsia="Times New Roman" w:hAnsi="Arial Narrow" w:cs="Arial"/>
            <w:sz w:val="20"/>
            <w:lang w:val="en-US"/>
          </w:rPr>
          <w:t>press</w:t>
        </w:r>
        <w:r w:rsidRPr="004E5876">
          <w:rPr>
            <w:rFonts w:ascii="Arial Narrow" w:eastAsia="Times New Roman" w:hAnsi="Arial Narrow" w:cs="Arial"/>
            <w:sz w:val="20"/>
          </w:rPr>
          <w:t>.</w:t>
        </w:r>
        <w:r w:rsidRPr="004E5876">
          <w:rPr>
            <w:rFonts w:ascii="Arial Narrow" w:eastAsia="Times New Roman" w:hAnsi="Arial Narrow" w:cs="Arial"/>
            <w:sz w:val="20"/>
            <w:lang w:val="en-US"/>
          </w:rPr>
          <w:t>ifipourgos</w:t>
        </w:r>
        <w:r w:rsidRPr="004E5876">
          <w:rPr>
            <w:rFonts w:ascii="Arial Narrow" w:eastAsia="Times New Roman" w:hAnsi="Arial Narrow" w:cs="Arial"/>
            <w:sz w:val="20"/>
          </w:rPr>
          <w:t>@</w:t>
        </w:r>
        <w:r w:rsidRPr="004E5876">
          <w:rPr>
            <w:rFonts w:ascii="Arial Narrow" w:eastAsia="Times New Roman" w:hAnsi="Arial Narrow" w:cs="Arial"/>
            <w:sz w:val="20"/>
            <w:lang w:val="en-US"/>
          </w:rPr>
          <w:t>ypes</w:t>
        </w:r>
        <w:r w:rsidRPr="004E5876">
          <w:rPr>
            <w:rFonts w:ascii="Arial Narrow" w:eastAsia="Times New Roman" w:hAnsi="Arial Narrow" w:cs="Arial"/>
            <w:sz w:val="20"/>
          </w:rPr>
          <w:t>.</w:t>
        </w:r>
        <w:r w:rsidRPr="004E5876">
          <w:rPr>
            <w:rFonts w:ascii="Arial Narrow" w:eastAsia="Times New Roman" w:hAnsi="Arial Narrow" w:cs="Arial"/>
            <w:sz w:val="20"/>
            <w:lang w:val="en-US"/>
          </w:rPr>
          <w:t>gr</w:t>
        </w:r>
      </w:hyperlink>
    </w:p>
    <w:sectPr w:rsidR="00B142AE" w:rsidRPr="00B142AE" w:rsidSect="00664E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142AE"/>
    <w:rsid w:val="001B6F99"/>
    <w:rsid w:val="00246AA9"/>
    <w:rsid w:val="002C5C0E"/>
    <w:rsid w:val="00766391"/>
    <w:rsid w:val="00B142AE"/>
    <w:rsid w:val="00D55E7A"/>
    <w:rsid w:val="00E964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2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4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ifipourgos@ypes.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3040</Characters>
  <Application>Microsoft Office Word</Application>
  <DocSecurity>0</DocSecurity>
  <Lines>25</Lines>
  <Paragraphs>7</Paragraphs>
  <ScaleCrop>false</ScaleCrop>
  <Company>Hewlett-Packard Company</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k.dragatis</dc:creator>
  <cp:lastModifiedBy>Efi Manimani</cp:lastModifiedBy>
  <cp:revision>2</cp:revision>
  <dcterms:created xsi:type="dcterms:W3CDTF">2018-12-20T17:59:00Z</dcterms:created>
  <dcterms:modified xsi:type="dcterms:W3CDTF">2018-12-20T17:59:00Z</dcterms:modified>
</cp:coreProperties>
</file>