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49" w:rsidRPr="00CE0232" w:rsidRDefault="009A357A" w:rsidP="00762449">
      <w:pPr>
        <w:jc w:val="center"/>
        <w:rPr>
          <w:rFonts w:cstheme="minorHAnsi"/>
          <w:b/>
          <w:sz w:val="34"/>
          <w:szCs w:val="34"/>
          <w:lang w:val="el-GR"/>
        </w:rPr>
      </w:pPr>
      <w:r w:rsidRPr="00CE0232">
        <w:rPr>
          <w:rFonts w:cstheme="minorHAnsi"/>
          <w:b/>
          <w:sz w:val="34"/>
          <w:szCs w:val="34"/>
          <w:lang w:val="el-GR"/>
        </w:rPr>
        <w:t xml:space="preserve">ΠΡΟΤΑΣΗ </w:t>
      </w:r>
      <w:r w:rsidR="00616643" w:rsidRPr="00CE0232">
        <w:rPr>
          <w:rFonts w:cstheme="minorHAnsi"/>
          <w:b/>
          <w:sz w:val="34"/>
          <w:szCs w:val="34"/>
          <w:lang w:val="el-GR"/>
        </w:rPr>
        <w:t>ΔΙΑΧΕΙΡΙΣΗ</w:t>
      </w:r>
      <w:r w:rsidRPr="00CE0232">
        <w:rPr>
          <w:rFonts w:cstheme="minorHAnsi"/>
          <w:b/>
          <w:sz w:val="34"/>
          <w:szCs w:val="34"/>
          <w:lang w:val="el-GR"/>
        </w:rPr>
        <w:t>Σ</w:t>
      </w:r>
      <w:r w:rsidR="00616643" w:rsidRPr="00CE0232">
        <w:rPr>
          <w:rFonts w:cstheme="minorHAnsi"/>
          <w:b/>
          <w:sz w:val="34"/>
          <w:szCs w:val="34"/>
          <w:lang w:val="el-GR"/>
        </w:rPr>
        <w:t xml:space="preserve"> </w:t>
      </w:r>
      <w:r w:rsidRPr="00CE0232">
        <w:rPr>
          <w:rFonts w:cstheme="minorHAnsi"/>
          <w:b/>
          <w:sz w:val="34"/>
          <w:szCs w:val="34"/>
          <w:lang w:val="el-GR"/>
        </w:rPr>
        <w:t xml:space="preserve">ΤΩΝ </w:t>
      </w:r>
      <w:r w:rsidR="00616643" w:rsidRPr="00CE0232">
        <w:rPr>
          <w:rFonts w:cstheme="minorHAnsi"/>
          <w:b/>
          <w:sz w:val="34"/>
          <w:szCs w:val="34"/>
          <w:lang w:val="el-GR"/>
        </w:rPr>
        <w:t>ΑΠΟΡΡΙΜΜΑΤΩΝ ΣΤΟ ΔΗΜΟ ΑΜΑΡΟΥΣΙΟΥ</w:t>
      </w:r>
      <w:r w:rsidR="00762449" w:rsidRPr="00CE0232">
        <w:rPr>
          <w:rFonts w:cstheme="minorHAnsi"/>
          <w:b/>
          <w:sz w:val="34"/>
          <w:szCs w:val="34"/>
          <w:lang w:val="el-GR"/>
        </w:rPr>
        <w:t xml:space="preserve"> </w:t>
      </w:r>
    </w:p>
    <w:p w:rsidR="00616643" w:rsidRPr="00CE0232" w:rsidRDefault="00762449" w:rsidP="00B07851">
      <w:pPr>
        <w:jc w:val="right"/>
        <w:rPr>
          <w:rFonts w:cstheme="minorHAnsi"/>
          <w:b/>
          <w:lang w:val="el-GR"/>
        </w:rPr>
      </w:pPr>
      <w:r w:rsidRPr="00CE0232">
        <w:rPr>
          <w:rFonts w:cstheme="minorHAnsi"/>
          <w:b/>
          <w:lang w:val="el-GR"/>
        </w:rPr>
        <w:t xml:space="preserve">                                              </w:t>
      </w:r>
      <w:r w:rsidR="00697168" w:rsidRPr="00CE0232">
        <w:rPr>
          <w:rFonts w:cstheme="minorHAnsi"/>
          <w:b/>
          <w:lang w:val="el-GR"/>
        </w:rPr>
        <w:t xml:space="preserve">               </w:t>
      </w:r>
      <w:r w:rsidRPr="00CE0232">
        <w:rPr>
          <w:rFonts w:cstheme="minorHAnsi"/>
          <w:b/>
          <w:lang w:val="el-GR"/>
        </w:rPr>
        <w:t xml:space="preserve">      </w:t>
      </w:r>
      <w:r w:rsidR="00697168" w:rsidRPr="00CE0232">
        <w:rPr>
          <w:rFonts w:cstheme="minorHAnsi"/>
          <w:b/>
          <w:lang w:val="el-GR"/>
        </w:rPr>
        <w:t>(</w:t>
      </w:r>
      <w:r w:rsidR="00150731" w:rsidRPr="00CE0232">
        <w:rPr>
          <w:rFonts w:cstheme="minorHAnsi"/>
          <w:b/>
          <w:lang w:val="el-GR"/>
        </w:rPr>
        <w:t xml:space="preserve">ΚΙΤΣΑΚΗ, </w:t>
      </w:r>
      <w:r w:rsidRPr="00CE0232">
        <w:rPr>
          <w:rFonts w:cstheme="minorHAnsi"/>
          <w:b/>
          <w:lang w:val="el-GR"/>
        </w:rPr>
        <w:t>ΑΠΡΙΛΙΟΣ</w:t>
      </w:r>
      <w:r w:rsidR="00697168" w:rsidRPr="00CE0232">
        <w:rPr>
          <w:rFonts w:cstheme="minorHAnsi"/>
          <w:b/>
          <w:lang w:val="el-GR"/>
        </w:rPr>
        <w:t xml:space="preserve"> 2019)</w:t>
      </w:r>
    </w:p>
    <w:p w:rsidR="009B0B53" w:rsidRPr="00CE0232" w:rsidRDefault="00B07851" w:rsidP="009B0B53">
      <w:pPr>
        <w:spacing w:after="5" w:line="326" w:lineRule="auto"/>
        <w:ind w:left="-4" w:right="14" w:hanging="9"/>
        <w:jc w:val="both"/>
        <w:rPr>
          <w:rFonts w:eastAsia="Calibri" w:cstheme="minorHAnsi"/>
          <w:b/>
          <w:sz w:val="28"/>
          <w:szCs w:val="28"/>
          <w:lang w:val="el-GR" w:eastAsia="en-GB"/>
        </w:rPr>
      </w:pPr>
      <w:r w:rsidRPr="00CE0232">
        <w:rPr>
          <w:rFonts w:eastAsia="Calibri" w:cstheme="minorHAnsi"/>
          <w:b/>
          <w:sz w:val="28"/>
          <w:szCs w:val="28"/>
          <w:lang w:val="el-GR" w:eastAsia="en-GB"/>
        </w:rPr>
        <w:t xml:space="preserve">Ι. </w:t>
      </w:r>
      <w:r w:rsidR="009B0B53" w:rsidRPr="00CE0232">
        <w:rPr>
          <w:rFonts w:eastAsia="Calibri" w:cstheme="minorHAnsi"/>
          <w:b/>
          <w:sz w:val="28"/>
          <w:szCs w:val="28"/>
          <w:lang w:val="el-GR" w:eastAsia="en-GB"/>
        </w:rPr>
        <w:t>ΘΕΣΜΙΚΟ ΠΛΑΣΙΟ</w:t>
      </w:r>
    </w:p>
    <w:p w:rsidR="00762449" w:rsidRPr="00CE0232" w:rsidRDefault="00551BC0" w:rsidP="00551BC0">
      <w:pPr>
        <w:spacing w:after="5" w:line="240" w:lineRule="auto"/>
        <w:ind w:left="-11" w:right="11"/>
        <w:jc w:val="both"/>
        <w:rPr>
          <w:rFonts w:eastAsia="Calibri" w:cstheme="minorHAnsi"/>
          <w:lang w:val="el-GR" w:eastAsia="en-GB"/>
        </w:rPr>
      </w:pPr>
      <w:r w:rsidRPr="00CE0232">
        <w:rPr>
          <w:rFonts w:eastAsia="Calibri" w:cstheme="minorHAnsi"/>
          <w:b/>
          <w:lang w:val="el-GR" w:eastAsia="en-GB"/>
        </w:rPr>
        <w:t xml:space="preserve">Α. </w:t>
      </w:r>
      <w:r w:rsidR="009B0B53" w:rsidRPr="00CE0232">
        <w:rPr>
          <w:rFonts w:eastAsia="Calibri" w:cstheme="minorHAnsi"/>
          <w:b/>
          <w:lang w:val="el-GR" w:eastAsia="en-GB"/>
        </w:rPr>
        <w:t>Η Ε.Ε.</w:t>
      </w:r>
      <w:r w:rsidR="009B0B53" w:rsidRPr="00CE0232">
        <w:rPr>
          <w:rFonts w:eastAsia="Calibri" w:cstheme="minorHAnsi"/>
          <w:lang w:val="el-GR" w:eastAsia="en-GB"/>
        </w:rPr>
        <w:t xml:space="preserve"> (Οδηγία 2008/98/</w:t>
      </w:r>
      <w:r w:rsidR="009B0B53" w:rsidRPr="00CE0232">
        <w:rPr>
          <w:rFonts w:eastAsia="Calibri" w:cstheme="minorHAnsi"/>
          <w:lang w:eastAsia="en-GB"/>
        </w:rPr>
        <w:t>EK</w:t>
      </w:r>
      <w:r w:rsidR="00762449" w:rsidRPr="00CE0232">
        <w:rPr>
          <w:rFonts w:eastAsia="Calibri" w:cstheme="minorHAnsi"/>
          <w:lang w:val="el-GR" w:eastAsia="en-GB"/>
        </w:rPr>
        <w:t xml:space="preserve">) θέτει </w:t>
      </w:r>
      <w:r w:rsidR="009B0B53" w:rsidRPr="00CE0232">
        <w:rPr>
          <w:rFonts w:eastAsia="Calibri" w:cstheme="minorHAnsi"/>
          <w:lang w:val="el-GR" w:eastAsia="en-GB"/>
        </w:rPr>
        <w:t>στόχους ανακύκλωσης έως το 2020</w:t>
      </w:r>
      <w:r w:rsidR="00762449" w:rsidRPr="00CE0232">
        <w:rPr>
          <w:rFonts w:eastAsia="Calibri" w:cstheme="minorHAnsi"/>
          <w:lang w:val="el-GR" w:eastAsia="en-GB"/>
        </w:rPr>
        <w:t>:</w:t>
      </w:r>
      <w:r w:rsidR="009B0B53" w:rsidRPr="00CE0232">
        <w:rPr>
          <w:rFonts w:eastAsia="Calibri" w:cstheme="minorHAnsi"/>
          <w:lang w:val="el-GR" w:eastAsia="en-GB"/>
        </w:rPr>
        <w:t xml:space="preserve"> </w:t>
      </w:r>
    </w:p>
    <w:p w:rsidR="009B0B53" w:rsidRPr="00CE0232" w:rsidRDefault="00762449" w:rsidP="002C2221">
      <w:pPr>
        <w:spacing w:after="5" w:line="240" w:lineRule="auto"/>
        <w:ind w:right="11" w:hanging="11"/>
        <w:contextualSpacing/>
        <w:jc w:val="both"/>
        <w:rPr>
          <w:rFonts w:eastAsia="Calibri" w:cstheme="minorHAnsi"/>
          <w:lang w:val="el-GR" w:eastAsia="en-GB"/>
        </w:rPr>
      </w:pPr>
      <w:r w:rsidRPr="00CE0232">
        <w:rPr>
          <w:rFonts w:eastAsia="Calibri" w:cstheme="minorHAnsi"/>
          <w:lang w:val="el-GR" w:eastAsia="en-GB"/>
        </w:rPr>
        <w:t>Η</w:t>
      </w:r>
      <w:r w:rsidR="009B0B53" w:rsidRPr="00CE0232">
        <w:rPr>
          <w:rFonts w:eastAsia="Calibri" w:cstheme="minorHAnsi"/>
          <w:lang w:val="el-GR" w:eastAsia="en-GB"/>
        </w:rPr>
        <w:t xml:space="preserve"> </w:t>
      </w:r>
      <w:r w:rsidR="009B0B53" w:rsidRPr="00CE0232">
        <w:rPr>
          <w:rFonts w:eastAsia="Calibri" w:cstheme="minorHAnsi"/>
          <w:u w:val="single"/>
          <w:lang w:val="el-GR" w:eastAsia="en-GB"/>
        </w:rPr>
        <w:t>επαναχρησιμοποίηση και ανακύκλωση</w:t>
      </w:r>
      <w:r w:rsidR="009B0B53" w:rsidRPr="00CE0232">
        <w:rPr>
          <w:rFonts w:eastAsia="Calibri" w:cstheme="minorHAnsi"/>
          <w:lang w:val="el-GR" w:eastAsia="en-GB"/>
        </w:rPr>
        <w:t xml:space="preserve"> των υλικών αποβλήτων (χαρτί, μέταλλο, πλαστικό, γυαλί) από τα νοικοκυριά, να αυξηθεί κατ’ ελάχιστον στο 50% ως προς το συνολικό βάρος. Αναφορικά με τα Βιολογικά απόβλητα, η Οδηγία δεν επιβάλει ποσοτικούς στόχους αλλά </w:t>
      </w:r>
      <w:r w:rsidR="009B0B53" w:rsidRPr="00CE0232">
        <w:rPr>
          <w:rFonts w:eastAsia="Calibri" w:cstheme="minorHAnsi"/>
          <w:u w:val="single"/>
          <w:lang w:val="el-GR" w:eastAsia="en-GB"/>
        </w:rPr>
        <w:t xml:space="preserve">προτρέπει </w:t>
      </w:r>
      <w:r w:rsidRPr="00CE0232">
        <w:rPr>
          <w:rFonts w:eastAsia="Calibri" w:cstheme="minorHAnsi"/>
          <w:lang w:val="el-GR" w:eastAsia="en-GB"/>
        </w:rPr>
        <w:t>(άρ. 22).</w:t>
      </w:r>
    </w:p>
    <w:p w:rsidR="009B0B53" w:rsidRPr="00CE0232" w:rsidRDefault="009B0B53" w:rsidP="00551BC0">
      <w:pPr>
        <w:pStyle w:val="a3"/>
        <w:numPr>
          <w:ilvl w:val="0"/>
          <w:numId w:val="21"/>
        </w:numPr>
        <w:spacing w:after="118" w:line="240" w:lineRule="auto"/>
        <w:ind w:right="11"/>
        <w:jc w:val="both"/>
        <w:rPr>
          <w:rFonts w:eastAsia="Calibri" w:cstheme="minorHAnsi"/>
          <w:lang w:val="el-GR" w:eastAsia="en-GB"/>
        </w:rPr>
      </w:pPr>
      <w:r w:rsidRPr="00CE0232">
        <w:rPr>
          <w:rFonts w:eastAsia="Calibri" w:cstheme="minorHAnsi"/>
          <w:lang w:val="el-GR" w:eastAsia="en-GB"/>
        </w:rPr>
        <w:t xml:space="preserve">Την ξεχωριστή συλλογή τους με στόχο την ξεχωριστή επεξεργασία </w:t>
      </w:r>
    </w:p>
    <w:p w:rsidR="00762449" w:rsidRPr="00CE0232" w:rsidRDefault="009B0B53" w:rsidP="00551BC0">
      <w:pPr>
        <w:pStyle w:val="a3"/>
        <w:numPr>
          <w:ilvl w:val="0"/>
          <w:numId w:val="21"/>
        </w:numPr>
        <w:spacing w:after="5" w:line="240" w:lineRule="auto"/>
        <w:ind w:right="11"/>
        <w:jc w:val="both"/>
        <w:rPr>
          <w:rFonts w:eastAsia="Calibri" w:cstheme="minorHAnsi"/>
          <w:lang w:val="el-GR" w:eastAsia="en-GB"/>
        </w:rPr>
      </w:pPr>
      <w:r w:rsidRPr="00CE0232">
        <w:rPr>
          <w:rFonts w:eastAsia="Calibri" w:cstheme="minorHAnsi"/>
          <w:lang w:val="el-GR" w:eastAsia="en-GB"/>
        </w:rPr>
        <w:t>Την επεξεργασία του οργανικού κλάσματος με γνώμονα την προστασία του περιβάλλοντος</w:t>
      </w:r>
      <w:r w:rsidR="00762449" w:rsidRPr="00CE0232">
        <w:rPr>
          <w:rFonts w:eastAsia="Calibri" w:cstheme="minorHAnsi"/>
          <w:lang w:val="el-GR" w:eastAsia="en-GB"/>
        </w:rPr>
        <w:t>.</w:t>
      </w:r>
    </w:p>
    <w:p w:rsidR="009B0B53" w:rsidRPr="00CE0232" w:rsidRDefault="009B0B53" w:rsidP="00551BC0">
      <w:pPr>
        <w:pStyle w:val="a3"/>
        <w:numPr>
          <w:ilvl w:val="0"/>
          <w:numId w:val="21"/>
        </w:numPr>
        <w:spacing w:after="5" w:line="240" w:lineRule="auto"/>
        <w:ind w:right="11"/>
        <w:jc w:val="both"/>
        <w:rPr>
          <w:rFonts w:eastAsia="Calibri" w:cstheme="minorHAnsi"/>
          <w:lang w:val="el-GR" w:eastAsia="en-GB"/>
        </w:rPr>
      </w:pPr>
      <w:r w:rsidRPr="00CE0232">
        <w:rPr>
          <w:rFonts w:eastAsia="Calibri" w:cstheme="minorHAnsi"/>
          <w:lang w:val="el-GR" w:eastAsia="en-GB"/>
        </w:rPr>
        <w:t xml:space="preserve">Τη χρήση περιβαλλοντικά ασφαλών προϊόντων από την επεξεργασία των οργανικών αποβλήτων </w:t>
      </w:r>
      <w:r w:rsidR="00762449" w:rsidRPr="00CE0232">
        <w:rPr>
          <w:rFonts w:eastAsia="Calibri" w:cstheme="minorHAnsi"/>
          <w:lang w:val="el-GR" w:eastAsia="en-GB"/>
        </w:rPr>
        <w:t>.</w:t>
      </w:r>
    </w:p>
    <w:p w:rsidR="00412B4B" w:rsidRPr="00CE0232" w:rsidRDefault="00412B4B" w:rsidP="00551BC0">
      <w:pPr>
        <w:spacing w:after="59" w:line="240" w:lineRule="auto"/>
        <w:ind w:right="-338"/>
        <w:jc w:val="both"/>
        <w:rPr>
          <w:rFonts w:eastAsia="Calibri" w:cstheme="minorHAnsi"/>
          <w:b/>
          <w:lang w:val="el-GR" w:eastAsia="en-GB"/>
        </w:rPr>
      </w:pPr>
    </w:p>
    <w:p w:rsidR="00412B4B" w:rsidRPr="00CE0232" w:rsidRDefault="00551BC0" w:rsidP="00412B4B">
      <w:pPr>
        <w:pStyle w:val="Default"/>
        <w:rPr>
          <w:rFonts w:asciiTheme="minorHAnsi" w:hAnsiTheme="minorHAnsi" w:cstheme="minorHAnsi"/>
          <w:b/>
          <w:bCs/>
          <w:color w:val="auto"/>
          <w:sz w:val="22"/>
          <w:szCs w:val="22"/>
          <w:lang w:val="el-GR"/>
        </w:rPr>
      </w:pPr>
      <w:r w:rsidRPr="00CE0232">
        <w:rPr>
          <w:rFonts w:asciiTheme="minorHAnsi" w:hAnsiTheme="minorHAnsi" w:cstheme="minorHAnsi"/>
          <w:b/>
          <w:color w:val="auto"/>
          <w:sz w:val="22"/>
          <w:szCs w:val="22"/>
          <w:lang w:val="el-GR"/>
        </w:rPr>
        <w:t xml:space="preserve">Β. </w:t>
      </w:r>
      <w:r w:rsidR="00412B4B" w:rsidRPr="00CE0232">
        <w:rPr>
          <w:rFonts w:asciiTheme="minorHAnsi" w:hAnsiTheme="minorHAnsi" w:cstheme="minorHAnsi"/>
          <w:b/>
          <w:color w:val="auto"/>
          <w:sz w:val="22"/>
          <w:szCs w:val="22"/>
          <w:lang w:val="el-GR"/>
        </w:rPr>
        <w:t>Το Εθνικό Σχέδιο Διαχείρισης Απορριμμάτων (ΕΣΔΑ)</w:t>
      </w:r>
      <w:r w:rsidRPr="00CE0232">
        <w:rPr>
          <w:rFonts w:asciiTheme="minorHAnsi" w:hAnsiTheme="minorHAnsi" w:cstheme="minorHAnsi"/>
          <w:b/>
          <w:color w:val="auto"/>
          <w:sz w:val="22"/>
          <w:szCs w:val="22"/>
          <w:lang w:val="el-GR"/>
        </w:rPr>
        <w:t xml:space="preserve"> </w:t>
      </w:r>
      <w:r w:rsidR="00412B4B" w:rsidRPr="00CE0232">
        <w:rPr>
          <w:rFonts w:asciiTheme="minorHAnsi" w:hAnsiTheme="minorHAnsi" w:cstheme="minorHAnsi"/>
          <w:b/>
          <w:color w:val="auto"/>
          <w:sz w:val="22"/>
          <w:szCs w:val="22"/>
          <w:lang w:val="el-GR"/>
        </w:rPr>
        <w:t xml:space="preserve"> (Πηγή ΕΣΔΑ</w:t>
      </w:r>
      <w:r w:rsidR="00762449" w:rsidRPr="00CE0232">
        <w:rPr>
          <w:rFonts w:asciiTheme="minorHAnsi" w:hAnsiTheme="minorHAnsi" w:cstheme="minorHAnsi"/>
          <w:b/>
          <w:color w:val="auto"/>
          <w:sz w:val="22"/>
          <w:szCs w:val="22"/>
          <w:lang w:val="el-GR"/>
        </w:rPr>
        <w:t>,</w:t>
      </w:r>
      <w:r w:rsidR="00412B4B" w:rsidRPr="00CE0232">
        <w:rPr>
          <w:rFonts w:asciiTheme="minorHAnsi" w:hAnsiTheme="minorHAnsi" w:cstheme="minorHAnsi"/>
          <w:color w:val="auto"/>
          <w:sz w:val="22"/>
          <w:szCs w:val="22"/>
          <w:lang w:val="el-GR"/>
        </w:rPr>
        <w:t xml:space="preserve"> </w:t>
      </w:r>
      <w:r w:rsidR="00412B4B" w:rsidRPr="00CE0232">
        <w:rPr>
          <w:rFonts w:asciiTheme="minorHAnsi" w:hAnsiTheme="minorHAnsi" w:cstheme="minorHAnsi"/>
          <w:b/>
          <w:bCs/>
          <w:color w:val="auto"/>
          <w:sz w:val="22"/>
          <w:szCs w:val="22"/>
          <w:u w:val="single"/>
          <w:lang w:val="el-GR"/>
        </w:rPr>
        <w:t>ΙΟΥΝΙΟΣ 2015, σελ 4-9</w:t>
      </w:r>
      <w:r w:rsidR="00412B4B" w:rsidRPr="00CE0232">
        <w:rPr>
          <w:rFonts w:asciiTheme="minorHAnsi" w:hAnsiTheme="minorHAnsi" w:cstheme="minorHAnsi"/>
          <w:b/>
          <w:bCs/>
          <w:color w:val="auto"/>
          <w:sz w:val="22"/>
          <w:szCs w:val="22"/>
          <w:lang w:val="el-GR"/>
        </w:rPr>
        <w:t>)</w:t>
      </w:r>
    </w:p>
    <w:p w:rsidR="00603E00" w:rsidRPr="00CE0232" w:rsidRDefault="00603E00" w:rsidP="00412B4B">
      <w:pPr>
        <w:pStyle w:val="Default"/>
        <w:rPr>
          <w:rFonts w:asciiTheme="minorHAnsi" w:eastAsia="Calibri" w:hAnsiTheme="minorHAnsi" w:cstheme="minorHAnsi"/>
          <w:color w:val="auto"/>
          <w:sz w:val="22"/>
          <w:szCs w:val="22"/>
          <w:lang w:val="el-GR" w:eastAsia="en-GB"/>
        </w:rPr>
      </w:pPr>
    </w:p>
    <w:p w:rsidR="00762449" w:rsidRPr="00CE0232" w:rsidRDefault="00412B4B" w:rsidP="00412B4B">
      <w:pPr>
        <w:spacing w:after="57"/>
        <w:rPr>
          <w:rFonts w:cstheme="minorHAnsi"/>
          <w:b/>
          <w:lang w:val="el-GR"/>
        </w:rPr>
      </w:pPr>
      <w:r w:rsidRPr="00CE0232">
        <w:rPr>
          <w:rFonts w:cstheme="minorHAnsi"/>
          <w:b/>
          <w:lang w:val="el-GR"/>
        </w:rPr>
        <w:t xml:space="preserve">Η εθνική πολιτική για τα απόβλητα είναι προσανατολισμένη στους εξής στόχους-ορόσημα για το 2020: </w:t>
      </w:r>
    </w:p>
    <w:p w:rsidR="00762449" w:rsidRPr="00CE0232" w:rsidRDefault="00762449" w:rsidP="00551BC0">
      <w:pPr>
        <w:pStyle w:val="a3"/>
        <w:numPr>
          <w:ilvl w:val="0"/>
          <w:numId w:val="22"/>
        </w:numPr>
        <w:spacing w:after="57"/>
        <w:rPr>
          <w:rFonts w:cstheme="minorHAnsi"/>
          <w:lang w:val="el-GR"/>
        </w:rPr>
      </w:pPr>
      <w:r w:rsidRPr="00CE0232">
        <w:rPr>
          <w:rFonts w:cstheme="minorHAnsi"/>
          <w:lang w:val="el-GR"/>
        </w:rPr>
        <w:t>Τ</w:t>
      </w:r>
      <w:r w:rsidR="00412B4B" w:rsidRPr="00CE0232">
        <w:rPr>
          <w:rFonts w:cstheme="minorHAnsi"/>
          <w:lang w:val="el-GR"/>
        </w:rPr>
        <w:t>α κατά κεφαλή παραγόμενα απόβ</w:t>
      </w:r>
      <w:r w:rsidRPr="00CE0232">
        <w:rPr>
          <w:rFonts w:cstheme="minorHAnsi"/>
          <w:lang w:val="el-GR"/>
        </w:rPr>
        <w:t xml:space="preserve">λητα να έχουν μειωθεί δραστικά. </w:t>
      </w:r>
    </w:p>
    <w:p w:rsidR="00762449" w:rsidRPr="00CE0232" w:rsidRDefault="00762449" w:rsidP="00551BC0">
      <w:pPr>
        <w:pStyle w:val="a3"/>
        <w:numPr>
          <w:ilvl w:val="0"/>
          <w:numId w:val="22"/>
        </w:numPr>
        <w:spacing w:after="57"/>
        <w:rPr>
          <w:rFonts w:cstheme="minorHAnsi"/>
          <w:lang w:val="el-GR"/>
        </w:rPr>
      </w:pPr>
      <w:r w:rsidRPr="00CE0232">
        <w:rPr>
          <w:rFonts w:cstheme="minorHAnsi"/>
          <w:lang w:val="el-GR"/>
        </w:rPr>
        <w:t>Η</w:t>
      </w:r>
      <w:r w:rsidR="00412B4B" w:rsidRPr="00CE0232">
        <w:rPr>
          <w:rFonts w:cstheme="minorHAnsi"/>
          <w:lang w:val="el-GR"/>
        </w:rPr>
        <w:t xml:space="preserve">  προετοιμασία προς επαναχρησιμοποίηση και η ανακύκλωση με χωριστή συλλογή ανακυκλώσιμων - βιοαποβλήτων  να εφαρμόζεται στο 50% του συνόλου των ΑΣΑ</w:t>
      </w:r>
      <w:r w:rsidRPr="00CE0232">
        <w:rPr>
          <w:rFonts w:cstheme="minorHAnsi"/>
          <w:lang w:val="el-GR"/>
        </w:rPr>
        <w:t>.</w:t>
      </w:r>
    </w:p>
    <w:p w:rsidR="00762449" w:rsidRPr="00CE0232" w:rsidRDefault="00762449" w:rsidP="00551BC0">
      <w:pPr>
        <w:pStyle w:val="a3"/>
        <w:numPr>
          <w:ilvl w:val="0"/>
          <w:numId w:val="22"/>
        </w:numPr>
        <w:spacing w:after="57"/>
        <w:rPr>
          <w:rFonts w:cstheme="minorHAnsi"/>
          <w:lang w:val="el-GR"/>
        </w:rPr>
      </w:pPr>
      <w:r w:rsidRPr="00CE0232">
        <w:rPr>
          <w:rFonts w:cstheme="minorHAnsi"/>
          <w:lang w:val="el-GR"/>
        </w:rPr>
        <w:t>Η</w:t>
      </w:r>
      <w:r w:rsidR="00412B4B" w:rsidRPr="00CE0232">
        <w:rPr>
          <w:rFonts w:cstheme="minorHAnsi"/>
          <w:lang w:val="el-GR"/>
        </w:rPr>
        <w:t xml:space="preserve"> ανάκτηση ενέργειας να αποτελεί συμπληρωματική μορφή διαχείρισης, όταν έχουν εξαντληθεί τα περιθώρια κάθε άλλου είδους ανάκτησης</w:t>
      </w:r>
      <w:r w:rsidRPr="00CE0232">
        <w:rPr>
          <w:rFonts w:cstheme="minorHAnsi"/>
          <w:lang w:val="el-GR"/>
        </w:rPr>
        <w:t>.</w:t>
      </w:r>
    </w:p>
    <w:p w:rsidR="00412B4B" w:rsidRPr="00CE0232" w:rsidRDefault="00762449" w:rsidP="00551BC0">
      <w:pPr>
        <w:pStyle w:val="a3"/>
        <w:numPr>
          <w:ilvl w:val="0"/>
          <w:numId w:val="22"/>
        </w:numPr>
        <w:spacing w:after="57"/>
        <w:rPr>
          <w:rFonts w:cstheme="minorHAnsi"/>
          <w:lang w:val="el-GR"/>
        </w:rPr>
      </w:pPr>
      <w:r w:rsidRPr="00CE0232">
        <w:rPr>
          <w:rFonts w:cstheme="minorHAnsi"/>
          <w:lang w:val="el-GR"/>
        </w:rPr>
        <w:t>Η</w:t>
      </w:r>
      <w:r w:rsidR="00412B4B" w:rsidRPr="00CE0232">
        <w:rPr>
          <w:rFonts w:cstheme="minorHAnsi"/>
          <w:lang w:val="el-GR"/>
        </w:rPr>
        <w:t xml:space="preserve"> υγειονομική ταφή να αποτελεί την τελευταία επιλογή και να έχει περιοριστεί σε λιγότερο από το 30% του συνόλου των ΑΣΑ</w:t>
      </w:r>
    </w:p>
    <w:p w:rsidR="00412B4B" w:rsidRPr="00CE0232" w:rsidRDefault="00412B4B" w:rsidP="00412B4B">
      <w:pPr>
        <w:spacing w:after="57"/>
        <w:rPr>
          <w:rFonts w:eastAsia="Calibri" w:cstheme="minorHAnsi"/>
          <w:lang w:val="el-GR" w:eastAsia="en-GB"/>
        </w:rPr>
      </w:pPr>
      <w:r w:rsidRPr="00CE0232">
        <w:rPr>
          <w:rFonts w:eastAsia="Calibri" w:cstheme="minorHAnsi"/>
          <w:lang w:val="el-GR" w:eastAsia="en-GB"/>
        </w:rPr>
        <w:t xml:space="preserve">Οι </w:t>
      </w:r>
      <w:r w:rsidRPr="00CE0232">
        <w:rPr>
          <w:rFonts w:eastAsia="Calibri" w:cstheme="minorHAnsi"/>
          <w:b/>
          <w:lang w:val="el-GR" w:eastAsia="en-GB"/>
        </w:rPr>
        <w:t>άξονες της πολιτικής</w:t>
      </w:r>
      <w:r w:rsidRPr="00CE0232">
        <w:rPr>
          <w:rFonts w:eastAsia="Calibri" w:cstheme="minorHAnsi"/>
          <w:lang w:val="el-GR" w:eastAsia="en-GB"/>
        </w:rPr>
        <w:t xml:space="preserve"> που καλείται να εξυπηρετήσει το ΕΣΔΑ είναι οι ακόλουθοι:</w:t>
      </w:r>
    </w:p>
    <w:p w:rsidR="00551BC0" w:rsidRPr="00CE0232" w:rsidRDefault="00412B4B" w:rsidP="00412B4B">
      <w:pPr>
        <w:pStyle w:val="a3"/>
        <w:numPr>
          <w:ilvl w:val="0"/>
          <w:numId w:val="16"/>
        </w:numPr>
        <w:spacing w:after="57"/>
        <w:rPr>
          <w:rFonts w:eastAsia="Calibri" w:cstheme="minorHAnsi"/>
          <w:lang w:val="el-GR" w:eastAsia="en-GB"/>
        </w:rPr>
      </w:pPr>
      <w:r w:rsidRPr="00CE0232">
        <w:rPr>
          <w:rFonts w:eastAsia="Calibri" w:cstheme="minorHAnsi"/>
          <w:lang w:val="el-GR" w:eastAsia="en-GB"/>
        </w:rPr>
        <w:t xml:space="preserve">Κατοχύρωση του δημόσιου χαρακτήρα της διαχείρισης στερεών αποβλήτων. </w:t>
      </w:r>
    </w:p>
    <w:p w:rsidR="00412B4B" w:rsidRPr="00CE0232" w:rsidRDefault="00412B4B" w:rsidP="00412B4B">
      <w:pPr>
        <w:pStyle w:val="a3"/>
        <w:numPr>
          <w:ilvl w:val="0"/>
          <w:numId w:val="16"/>
        </w:numPr>
        <w:spacing w:after="57"/>
        <w:rPr>
          <w:rFonts w:eastAsia="Calibri" w:cstheme="minorHAnsi"/>
          <w:lang w:val="el-GR" w:eastAsia="en-GB"/>
        </w:rPr>
      </w:pPr>
      <w:r w:rsidRPr="00CE0232">
        <w:rPr>
          <w:rFonts w:eastAsia="Calibri" w:cstheme="minorHAnsi"/>
          <w:lang w:val="el-GR" w:eastAsia="en-GB"/>
        </w:rPr>
        <w:t>Ύπαρξη ολοκληρωμένου σχεδιασμού για το σύνολο των ρευμάτων αποβλήτων της επικράτειας σε εθνικό, περιφερειακό και τοπικό επίπεδο.</w:t>
      </w:r>
    </w:p>
    <w:p w:rsidR="00412B4B" w:rsidRPr="00CE0232" w:rsidRDefault="00412B4B" w:rsidP="00412B4B">
      <w:pPr>
        <w:pStyle w:val="a3"/>
        <w:numPr>
          <w:ilvl w:val="0"/>
          <w:numId w:val="16"/>
        </w:numPr>
        <w:spacing w:after="57"/>
        <w:rPr>
          <w:rFonts w:eastAsia="Calibri" w:cstheme="minorHAnsi"/>
          <w:lang w:val="el-GR" w:eastAsia="en-GB"/>
        </w:rPr>
      </w:pPr>
      <w:r w:rsidRPr="00CE0232">
        <w:rPr>
          <w:rFonts w:eastAsia="Calibri" w:cstheme="minorHAnsi"/>
          <w:lang w:val="el-GR" w:eastAsia="en-GB"/>
        </w:rPr>
        <w:t xml:space="preserve">Διασφάλιση της υψηλής προστασίας του περιβάλλοντος και της ανθρώπινης υγείας. </w:t>
      </w:r>
    </w:p>
    <w:p w:rsidR="00412B4B" w:rsidRPr="00CE0232" w:rsidRDefault="00412B4B" w:rsidP="00412B4B">
      <w:pPr>
        <w:pStyle w:val="a3"/>
        <w:numPr>
          <w:ilvl w:val="0"/>
          <w:numId w:val="16"/>
        </w:numPr>
        <w:spacing w:after="108" w:line="248" w:lineRule="auto"/>
        <w:ind w:right="12"/>
        <w:jc w:val="both"/>
        <w:rPr>
          <w:rFonts w:eastAsia="Calibri" w:cstheme="minorHAnsi"/>
          <w:lang w:val="el-GR" w:eastAsia="en-GB"/>
        </w:rPr>
      </w:pPr>
      <w:r w:rsidRPr="00CE0232">
        <w:rPr>
          <w:rFonts w:eastAsia="Calibri" w:cstheme="minorHAnsi"/>
          <w:lang w:val="el-GR" w:eastAsia="en-GB"/>
        </w:rPr>
        <w:t xml:space="preserve">Προώθηση της αποδοτικής χρήσης των πόρων προς όφελος της κοινωνίας. </w:t>
      </w:r>
    </w:p>
    <w:p w:rsidR="00412B4B" w:rsidRPr="00CE0232" w:rsidRDefault="00412B4B" w:rsidP="00412B4B">
      <w:pPr>
        <w:pStyle w:val="a3"/>
        <w:numPr>
          <w:ilvl w:val="0"/>
          <w:numId w:val="16"/>
        </w:numPr>
        <w:spacing w:after="108" w:line="248" w:lineRule="auto"/>
        <w:ind w:right="12"/>
        <w:jc w:val="both"/>
        <w:rPr>
          <w:rFonts w:eastAsia="Calibri" w:cstheme="minorHAnsi"/>
          <w:lang w:val="el-GR" w:eastAsia="en-GB"/>
        </w:rPr>
      </w:pPr>
      <w:r w:rsidRPr="00CE0232">
        <w:rPr>
          <w:rFonts w:eastAsia="Calibri" w:cstheme="minorHAnsi"/>
          <w:lang w:val="el-GR" w:eastAsia="en-GB"/>
        </w:rPr>
        <w:t>Αναβάθμιση των δημόσιων και δημοτικών υπηρεσιών διαχείρισης αποβλήτων προς τους πολίτες και τους παραγωγούς αποβλήτων.</w:t>
      </w:r>
    </w:p>
    <w:p w:rsidR="00412B4B" w:rsidRPr="00CE0232" w:rsidRDefault="00412B4B" w:rsidP="00412B4B">
      <w:pPr>
        <w:pStyle w:val="a3"/>
        <w:numPr>
          <w:ilvl w:val="0"/>
          <w:numId w:val="16"/>
        </w:numPr>
        <w:spacing w:after="0" w:line="248" w:lineRule="auto"/>
        <w:ind w:right="12"/>
        <w:jc w:val="both"/>
        <w:rPr>
          <w:rFonts w:eastAsia="Calibri" w:cstheme="minorHAnsi"/>
          <w:lang w:val="el-GR" w:eastAsia="en-GB"/>
        </w:rPr>
      </w:pPr>
      <w:r w:rsidRPr="00CE0232">
        <w:rPr>
          <w:rFonts w:eastAsia="Calibri" w:cstheme="minorHAnsi"/>
          <w:lang w:val="el-GR" w:eastAsia="en-GB"/>
        </w:rPr>
        <w:t xml:space="preserve">Εξορθολογισμός κόστους υπηρεσιών διαχείρισης αποβλήτων και προώθηση οικονομικά βιώσιμων και περιβαλλοντικά αποδεκτών επενδύσεων στον τομέα των αποβλήτων, καθώς και της υποστήριξης περιβαλλοντικά φιλικών τεχνολογιών και της καινοτομίας, με τη μέγιστη δυνατή αξιοποίηση πόρων από διαθέσιμη δημόσια χρηματοδότηση, κοινωνικό έλεγχο και με το ελάχιστο κόστος για τους πολίτες. </w:t>
      </w:r>
    </w:p>
    <w:p w:rsidR="009358DB" w:rsidRPr="00CE0232" w:rsidRDefault="009358DB" w:rsidP="009358DB">
      <w:pPr>
        <w:pStyle w:val="a3"/>
        <w:spacing w:after="0" w:line="248" w:lineRule="auto"/>
        <w:ind w:left="786" w:right="12"/>
        <w:jc w:val="both"/>
        <w:rPr>
          <w:rFonts w:eastAsia="Calibri" w:cstheme="minorHAnsi"/>
          <w:b/>
          <w:lang w:val="el-GR" w:eastAsia="en-GB"/>
        </w:rPr>
      </w:pPr>
    </w:p>
    <w:p w:rsidR="00603E00" w:rsidRPr="00CE0232" w:rsidRDefault="00551BC0" w:rsidP="00E72665">
      <w:pPr>
        <w:spacing w:after="232" w:line="248" w:lineRule="auto"/>
        <w:ind w:left="172" w:right="12"/>
        <w:jc w:val="both"/>
        <w:rPr>
          <w:rFonts w:eastAsia="Calibri" w:cstheme="minorHAnsi"/>
          <w:b/>
          <w:lang w:val="el-GR"/>
        </w:rPr>
      </w:pPr>
      <w:r w:rsidRPr="00CE0232">
        <w:rPr>
          <w:rFonts w:eastAsia="Calibri" w:cstheme="minorHAnsi"/>
          <w:b/>
          <w:lang w:val="el-GR"/>
        </w:rPr>
        <w:t xml:space="preserve">Γ.  </w:t>
      </w:r>
      <w:r w:rsidR="009358DB" w:rsidRPr="00CE0232">
        <w:rPr>
          <w:rFonts w:eastAsia="Calibri" w:cstheme="minorHAnsi"/>
          <w:b/>
          <w:lang w:val="el-GR"/>
        </w:rPr>
        <w:t>Η Π</w:t>
      </w:r>
      <w:r w:rsidR="00603E00" w:rsidRPr="00CE0232">
        <w:rPr>
          <w:rFonts w:eastAsia="Calibri" w:cstheme="minorHAnsi"/>
          <w:b/>
          <w:lang w:val="el-GR"/>
        </w:rPr>
        <w:t>ολιτική της Διαχείρισης των Αποβλητων από την Περιφέρεια Αττικής</w:t>
      </w:r>
    </w:p>
    <w:p w:rsidR="009358DB" w:rsidRPr="00CE0232" w:rsidRDefault="009358DB" w:rsidP="00E72665">
      <w:pPr>
        <w:spacing w:after="232" w:line="248" w:lineRule="auto"/>
        <w:ind w:left="172" w:right="12"/>
        <w:jc w:val="both"/>
        <w:rPr>
          <w:rFonts w:eastAsia="Calibri" w:cstheme="minorHAnsi"/>
          <w:b/>
          <w:lang w:val="el-GR"/>
        </w:rPr>
      </w:pPr>
      <w:r w:rsidRPr="00CE0232">
        <w:rPr>
          <w:rFonts w:eastAsia="Calibri" w:cstheme="minorHAnsi"/>
          <w:lang w:val="el-GR"/>
        </w:rPr>
        <w:t>Οι άξονες της πολιτικής της Περιφέρειας Αττικής  όπως αυτοί διατυπώθηκαν το</w:t>
      </w:r>
      <w:r w:rsidRPr="00CE0232">
        <w:rPr>
          <w:rFonts w:eastAsia="Calibri" w:cstheme="minorHAnsi"/>
          <w:b/>
          <w:lang w:val="el-GR"/>
        </w:rPr>
        <w:t xml:space="preserve"> 2016 (Περιφερειακό Σχέδιο Διαχείρισης Αποβλήτων Αττικής (ΠΕΣΔΑ). 2</w:t>
      </w:r>
      <w:r w:rsidRPr="00CE0232">
        <w:rPr>
          <w:rFonts w:eastAsia="Calibri" w:cstheme="minorHAnsi"/>
          <w:b/>
          <w:vertAlign w:val="superscript"/>
          <w:lang w:val="el-GR"/>
        </w:rPr>
        <w:t>η</w:t>
      </w:r>
      <w:r w:rsidRPr="00CE0232">
        <w:rPr>
          <w:rFonts w:eastAsia="Calibri" w:cstheme="minorHAnsi"/>
          <w:b/>
          <w:lang w:val="el-GR"/>
        </w:rPr>
        <w:t xml:space="preserve"> Αναθεώρηση) ήταν οι ακόλουθοι: </w:t>
      </w:r>
    </w:p>
    <w:p w:rsidR="009358DB" w:rsidRPr="00CE0232" w:rsidRDefault="009358DB" w:rsidP="009358DB">
      <w:pPr>
        <w:pStyle w:val="a3"/>
        <w:numPr>
          <w:ilvl w:val="0"/>
          <w:numId w:val="17"/>
        </w:numPr>
        <w:spacing w:after="232" w:line="248" w:lineRule="auto"/>
        <w:ind w:right="12"/>
        <w:jc w:val="both"/>
        <w:rPr>
          <w:rFonts w:cstheme="minorHAnsi"/>
          <w:lang w:val="el-GR"/>
        </w:rPr>
      </w:pPr>
      <w:r w:rsidRPr="00CE0232">
        <w:rPr>
          <w:rFonts w:eastAsia="Corbel" w:cstheme="minorHAnsi"/>
          <w:lang w:val="el-GR"/>
        </w:rPr>
        <w:t xml:space="preserve">Κατοχύρωση του δημόσιου χαρακτήρα της διαχείρισης στερεών αποβλήτων με στόχο την προστασία της δημόσιας υγείας και του περιβάλλοντος, στο πλαίσιο μιας πολιτικής βιώσιμης ανάπτυξης προς όφελος του κοινωνικού συνόλου, με όρους αειφορίας.  </w:t>
      </w:r>
    </w:p>
    <w:p w:rsidR="009358DB" w:rsidRPr="00CE0232" w:rsidRDefault="009358DB" w:rsidP="009358DB">
      <w:pPr>
        <w:pStyle w:val="a3"/>
        <w:numPr>
          <w:ilvl w:val="0"/>
          <w:numId w:val="17"/>
        </w:numPr>
        <w:spacing w:after="94" w:line="216" w:lineRule="auto"/>
        <w:ind w:right="1"/>
        <w:rPr>
          <w:rFonts w:cstheme="minorHAnsi"/>
          <w:lang w:val="el-GR"/>
        </w:rPr>
      </w:pPr>
      <w:r w:rsidRPr="00CE0232">
        <w:rPr>
          <w:rFonts w:eastAsia="Corbel" w:cstheme="minorHAnsi"/>
          <w:lang w:val="el-GR"/>
        </w:rPr>
        <w:lastRenderedPageBreak/>
        <w:t xml:space="preserve">Ολοκληρωμένος σχεδιασμός για το σύνολο των ρευμάτων αποβλήτων της Αττικής  σε περιφερειακό και τοπικό επίπεδο, λαμβάνοντας υπόψη και τα μέτρα και τις δράσεις του εθνικού στρατηγικού σχεδίου πρόληψης αποβλήτων. </w:t>
      </w:r>
    </w:p>
    <w:p w:rsidR="009358DB" w:rsidRPr="00CE0232" w:rsidRDefault="009358DB" w:rsidP="009358DB">
      <w:pPr>
        <w:pStyle w:val="a3"/>
        <w:numPr>
          <w:ilvl w:val="0"/>
          <w:numId w:val="17"/>
        </w:numPr>
        <w:spacing w:after="100" w:line="248" w:lineRule="auto"/>
        <w:ind w:right="175"/>
        <w:rPr>
          <w:rFonts w:cstheme="minorHAnsi"/>
          <w:lang w:val="el-GR"/>
        </w:rPr>
      </w:pPr>
      <w:r w:rsidRPr="00CE0232">
        <w:rPr>
          <w:rFonts w:eastAsia="Corbel" w:cstheme="minorHAnsi"/>
          <w:lang w:val="el-GR"/>
        </w:rPr>
        <w:t xml:space="preserve">Διασφάλιση της υψηλής προστασίας του περιβάλλοντος και της ανθρώπινης υγείας, με επίτευξη αυτάρκειας σε κατάλληλα και επαρκή δίκτυα και υποδομές συλλογής, ανάκτησης και διάθεσης των αποβλήτων. </w:t>
      </w:r>
    </w:p>
    <w:p w:rsidR="009358DB" w:rsidRPr="00CE0232" w:rsidRDefault="009358DB" w:rsidP="009358DB">
      <w:pPr>
        <w:pStyle w:val="a3"/>
        <w:numPr>
          <w:ilvl w:val="0"/>
          <w:numId w:val="17"/>
        </w:numPr>
        <w:spacing w:after="100" w:line="248" w:lineRule="auto"/>
        <w:ind w:right="175"/>
        <w:rPr>
          <w:rFonts w:cstheme="minorHAnsi"/>
          <w:lang w:val="el-GR"/>
        </w:rPr>
      </w:pPr>
      <w:r w:rsidRPr="00CE0232">
        <w:rPr>
          <w:rFonts w:eastAsia="Corbel" w:cstheme="minorHAnsi"/>
          <w:lang w:val="el-GR"/>
        </w:rPr>
        <w:t xml:space="preserve">Προώθηση της αποδοτικής χρήσης των πόρων προς όφελος της κοινωνίας και με κοινωνικά δίκαιο τρόπο, </w:t>
      </w:r>
    </w:p>
    <w:p w:rsidR="009358DB" w:rsidRPr="00CE0232" w:rsidRDefault="009358DB" w:rsidP="009358DB">
      <w:pPr>
        <w:pStyle w:val="a3"/>
        <w:numPr>
          <w:ilvl w:val="0"/>
          <w:numId w:val="17"/>
        </w:numPr>
        <w:spacing w:after="100" w:line="248" w:lineRule="auto"/>
        <w:ind w:right="175"/>
        <w:rPr>
          <w:rFonts w:cstheme="minorHAnsi"/>
          <w:lang w:val="el-GR"/>
        </w:rPr>
      </w:pPr>
      <w:r w:rsidRPr="00CE0232">
        <w:rPr>
          <w:rFonts w:eastAsia="Corbel" w:cstheme="minorHAnsi"/>
          <w:lang w:val="el-GR"/>
        </w:rPr>
        <w:t xml:space="preserve">Ενίσχυση της εφαρμογής της διευρυμένης ευθύνης του παραγωγού στη διαχείριση αποβλήτων  </w:t>
      </w:r>
    </w:p>
    <w:p w:rsidR="009358DB" w:rsidRPr="00CE0232" w:rsidRDefault="009358DB" w:rsidP="009358DB">
      <w:pPr>
        <w:pStyle w:val="a3"/>
        <w:numPr>
          <w:ilvl w:val="0"/>
          <w:numId w:val="17"/>
        </w:numPr>
        <w:spacing w:after="100" w:line="248" w:lineRule="auto"/>
        <w:ind w:right="175"/>
        <w:rPr>
          <w:rFonts w:cstheme="minorHAnsi"/>
          <w:lang w:val="el-GR"/>
        </w:rPr>
      </w:pPr>
      <w:r w:rsidRPr="00CE0232">
        <w:rPr>
          <w:rFonts w:eastAsia="Corbel" w:cstheme="minorHAnsi"/>
          <w:lang w:val="el-GR"/>
        </w:rPr>
        <w:t xml:space="preserve">Αναβάθμιση των δημόσιων/δημοτικών υπηρεσιών διαχείρισης αποβλήτων προς πολίτες και παραγωγούς,  </w:t>
      </w:r>
    </w:p>
    <w:p w:rsidR="009358DB" w:rsidRPr="00CE0232" w:rsidRDefault="009358DB" w:rsidP="009358DB">
      <w:pPr>
        <w:pStyle w:val="a3"/>
        <w:numPr>
          <w:ilvl w:val="0"/>
          <w:numId w:val="17"/>
        </w:numPr>
        <w:spacing w:after="100" w:line="248" w:lineRule="auto"/>
        <w:ind w:right="175"/>
        <w:rPr>
          <w:rFonts w:cstheme="minorHAnsi"/>
          <w:lang w:val="el-GR"/>
        </w:rPr>
      </w:pPr>
      <w:r w:rsidRPr="00CE0232">
        <w:rPr>
          <w:rFonts w:eastAsia="Corbel" w:cstheme="minorHAnsi"/>
          <w:lang w:val="el-GR"/>
        </w:rPr>
        <w:t xml:space="preserve">Ευαισθητοποίηση και ενθάρρυνση της ενεργού συμμετοχής των πολιτών </w:t>
      </w:r>
    </w:p>
    <w:p w:rsidR="009358DB" w:rsidRPr="00CE0232" w:rsidRDefault="009358DB" w:rsidP="009358DB">
      <w:pPr>
        <w:pStyle w:val="a3"/>
        <w:numPr>
          <w:ilvl w:val="0"/>
          <w:numId w:val="17"/>
        </w:numPr>
        <w:spacing w:after="0" w:line="236" w:lineRule="auto"/>
        <w:ind w:right="175"/>
        <w:rPr>
          <w:rFonts w:eastAsia="Corbel" w:cstheme="minorHAnsi"/>
          <w:lang w:val="el-GR"/>
        </w:rPr>
      </w:pPr>
      <w:r w:rsidRPr="00CE0232">
        <w:rPr>
          <w:rFonts w:eastAsia="Corbel" w:cstheme="minorHAnsi"/>
          <w:lang w:val="el-GR"/>
        </w:rPr>
        <w:t xml:space="preserve">Εξορθολογισμός του κόστους υπηρεσιών διαχείρισης αποβλήτων και προώθηση οικονομικά βιώσιμων και περιβαλλοντικά αποδεκτών επενδύσεων. </w:t>
      </w:r>
    </w:p>
    <w:p w:rsidR="009358DB" w:rsidRPr="00CE0232" w:rsidRDefault="009358DB" w:rsidP="009358DB">
      <w:pPr>
        <w:spacing w:after="0" w:line="236" w:lineRule="auto"/>
        <w:ind w:right="175"/>
        <w:rPr>
          <w:rFonts w:cstheme="minorHAnsi"/>
          <w:lang w:val="el-GR"/>
        </w:rPr>
      </w:pPr>
    </w:p>
    <w:p w:rsidR="009358DB" w:rsidRPr="00CE0232" w:rsidRDefault="009358DB" w:rsidP="009358DB">
      <w:pPr>
        <w:spacing w:after="0"/>
        <w:rPr>
          <w:rFonts w:cstheme="minorHAnsi"/>
          <w:lang w:val="el-GR"/>
        </w:rPr>
      </w:pPr>
      <w:r w:rsidRPr="00CE0232">
        <w:rPr>
          <w:rFonts w:eastAsia="Corbel" w:cstheme="minorHAnsi"/>
          <w:lang w:val="el-GR"/>
        </w:rPr>
        <w:t xml:space="preserve">Το πρότυπο της διαχείρισης των ΑΣΑ χαρακτηριζόταν από : </w:t>
      </w:r>
    </w:p>
    <w:p w:rsidR="009358DB" w:rsidRPr="00CE0232" w:rsidRDefault="009358DB" w:rsidP="009358DB">
      <w:pPr>
        <w:pStyle w:val="a3"/>
        <w:numPr>
          <w:ilvl w:val="0"/>
          <w:numId w:val="18"/>
        </w:numPr>
        <w:spacing w:after="100" w:line="240" w:lineRule="atLeast"/>
        <w:ind w:right="176"/>
        <w:rPr>
          <w:rFonts w:cstheme="minorHAnsi"/>
          <w:lang w:val="el-GR"/>
        </w:rPr>
      </w:pPr>
      <w:r w:rsidRPr="00CE0232">
        <w:rPr>
          <w:rFonts w:eastAsia="Corbel" w:cstheme="minorHAnsi"/>
          <w:lang w:val="el-GR"/>
        </w:rPr>
        <w:t>Εφαρμογή του κύκλου : πρόληψη, διαχωρισμός στην πηγή, ανάκτηση &amp; ανακύκλωση υλικών, κομποστοποίηση – αξιοποίηση διαχωριζόμενων χρήσιμων υλικών, ταφή υπολειμμάτων</w:t>
      </w:r>
    </w:p>
    <w:p w:rsidR="009358DB" w:rsidRPr="00CE0232" w:rsidRDefault="009358DB" w:rsidP="009358DB">
      <w:pPr>
        <w:pStyle w:val="a3"/>
        <w:numPr>
          <w:ilvl w:val="0"/>
          <w:numId w:val="18"/>
        </w:numPr>
        <w:spacing w:after="232" w:line="248" w:lineRule="auto"/>
        <w:ind w:right="12"/>
        <w:jc w:val="both"/>
        <w:rPr>
          <w:rFonts w:cstheme="minorHAnsi"/>
          <w:lang w:val="el-GR"/>
        </w:rPr>
      </w:pPr>
      <w:r w:rsidRPr="00CE0232">
        <w:rPr>
          <w:rFonts w:eastAsia="Corbel" w:cstheme="minorHAnsi"/>
          <w:lang w:val="el-GR"/>
        </w:rPr>
        <w:t xml:space="preserve">Αποκέντρωση των δραστηριοτήτων και μικρή κλίμακα </w:t>
      </w:r>
    </w:p>
    <w:p w:rsidR="009358DB" w:rsidRPr="00CE0232" w:rsidRDefault="009358DB" w:rsidP="009358DB">
      <w:pPr>
        <w:pStyle w:val="a3"/>
        <w:numPr>
          <w:ilvl w:val="0"/>
          <w:numId w:val="18"/>
        </w:numPr>
        <w:spacing w:after="232" w:line="248" w:lineRule="auto"/>
        <w:ind w:right="12"/>
        <w:jc w:val="both"/>
        <w:rPr>
          <w:rFonts w:eastAsia="Corbel" w:cstheme="minorHAnsi"/>
          <w:lang w:val="el-GR"/>
        </w:rPr>
      </w:pPr>
      <w:r w:rsidRPr="00CE0232">
        <w:rPr>
          <w:rFonts w:eastAsia="Corbel" w:cstheme="minorHAnsi"/>
          <w:lang w:val="el-GR"/>
        </w:rPr>
        <w:t xml:space="preserve">Χωροθέτηση εγκαταστάσεων, με βάση την αρχή «κάθε περιοχή αναλαμβάνει το βάρος που της ανήκει».Ενθάρρυνση της κοινωνικής συμμετοχής Αξιοποίηση του εγχώριου παραγωγικού δυναμικού </w:t>
      </w:r>
    </w:p>
    <w:p w:rsidR="009358DB" w:rsidRPr="00CE0232" w:rsidRDefault="009358DB" w:rsidP="009358DB">
      <w:pPr>
        <w:pStyle w:val="a3"/>
        <w:numPr>
          <w:ilvl w:val="0"/>
          <w:numId w:val="18"/>
        </w:numPr>
        <w:spacing w:after="232" w:line="248" w:lineRule="auto"/>
        <w:ind w:right="12"/>
        <w:jc w:val="both"/>
        <w:rPr>
          <w:rFonts w:eastAsia="Corbel" w:cstheme="minorHAnsi"/>
          <w:lang w:val="el-GR"/>
        </w:rPr>
      </w:pPr>
      <w:r w:rsidRPr="00CE0232">
        <w:rPr>
          <w:rFonts w:eastAsia="Corbel" w:cstheme="minorHAnsi"/>
          <w:lang w:val="el-GR"/>
        </w:rPr>
        <w:t>Διατήρηση και υπεράσπιση του δημόσιου χαρακτήρα στην διαχείριση των ΑΣΑ</w:t>
      </w:r>
    </w:p>
    <w:p w:rsidR="00341237" w:rsidRPr="00CE0232" w:rsidRDefault="00341237" w:rsidP="00341237">
      <w:pPr>
        <w:ind w:right="5"/>
        <w:rPr>
          <w:rFonts w:eastAsia="Calibri" w:cstheme="minorHAnsi"/>
          <w:u w:val="single"/>
          <w:lang w:val="el-GR" w:eastAsia="en-GB"/>
        </w:rPr>
      </w:pPr>
      <w:r w:rsidRPr="00CE0232">
        <w:rPr>
          <w:rFonts w:eastAsia="Calibri" w:cstheme="minorHAnsi"/>
          <w:lang w:val="el-GR" w:eastAsia="en-GB"/>
        </w:rPr>
        <w:t xml:space="preserve">Πάντως </w:t>
      </w:r>
      <w:r w:rsidRPr="00CE0232">
        <w:rPr>
          <w:rFonts w:eastAsia="Calibri" w:cstheme="minorHAnsi"/>
          <w:u w:val="single"/>
          <w:lang w:val="el-GR" w:eastAsia="en-GB"/>
        </w:rPr>
        <w:t xml:space="preserve">η απογραφή της διαχείρισης των σκουπιδιών από την Περιφέρεια Αττικής στο  επόμενο έτος το 2017 </w:t>
      </w:r>
      <w:r w:rsidRPr="00CE0232">
        <w:rPr>
          <w:rFonts w:eastAsia="Calibri" w:cstheme="minorHAnsi"/>
          <w:lang w:val="el-GR" w:eastAsia="en-GB"/>
        </w:rPr>
        <w:t xml:space="preserve">ήταν αποκαρδιωτική. Μόλις  στο 4,58% έφτασε η διαλογή στην πηγή και μάλιστα από ιδιωτικά συστήματα, ενώ η συνολική ταφή στον ΧΥΤΑ της Φυλής έφτασε 90,53% </w:t>
      </w:r>
      <w:r w:rsidRPr="00CE0232">
        <w:rPr>
          <w:rFonts w:eastAsia="Calibri" w:cstheme="minorHAnsi"/>
          <w:u w:val="single"/>
          <w:lang w:val="el-GR" w:eastAsia="en-GB"/>
        </w:rPr>
        <w:t xml:space="preserve">(πηγή </w:t>
      </w:r>
      <w:r w:rsidRPr="00CE0232">
        <w:rPr>
          <w:rFonts w:eastAsia="Calibri" w:cstheme="minorHAnsi"/>
          <w:u w:val="single"/>
          <w:lang w:eastAsia="en-GB"/>
        </w:rPr>
        <w:t>edsna</w:t>
      </w:r>
      <w:r w:rsidRPr="00CE0232">
        <w:rPr>
          <w:rFonts w:eastAsia="Calibri" w:cstheme="minorHAnsi"/>
          <w:u w:val="single"/>
          <w:lang w:val="el-GR" w:eastAsia="en-GB"/>
        </w:rPr>
        <w:t>;) .</w:t>
      </w:r>
    </w:p>
    <w:p w:rsidR="00EC1D5C" w:rsidRPr="00CE0232" w:rsidRDefault="00EC1D5C" w:rsidP="00341237">
      <w:pPr>
        <w:ind w:right="5"/>
        <w:rPr>
          <w:rFonts w:eastAsia="Calibri" w:cstheme="minorHAnsi"/>
          <w:lang w:val="el-GR" w:eastAsia="en-GB"/>
        </w:rPr>
      </w:pPr>
      <w:r w:rsidRPr="00CE0232">
        <w:rPr>
          <w:rFonts w:eastAsia="Times New Roman" w:cstheme="minorHAnsi"/>
          <w:noProof/>
          <w:lang w:val="el-GR" w:eastAsia="el-GR"/>
        </w:rPr>
        <w:drawing>
          <wp:inline distT="0" distB="0" distL="0" distR="0">
            <wp:extent cx="5940290" cy="3743325"/>
            <wp:effectExtent l="0" t="0" r="3810" b="0"/>
            <wp:docPr id="73312" name="Picture 73312" descr="https://www.efsyn.gr/sites/default/files/10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fsyn.gr/sites/default/files/108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5945" cy="3746889"/>
                    </a:xfrm>
                    <a:prstGeom prst="rect">
                      <a:avLst/>
                    </a:prstGeom>
                    <a:noFill/>
                    <a:ln>
                      <a:noFill/>
                    </a:ln>
                  </pic:spPr>
                </pic:pic>
              </a:graphicData>
            </a:graphic>
          </wp:inline>
        </w:drawing>
      </w:r>
    </w:p>
    <w:p w:rsidR="00412B4B" w:rsidRPr="00CE0232" w:rsidRDefault="00412B4B" w:rsidP="004A4819">
      <w:pPr>
        <w:spacing w:after="59" w:line="240" w:lineRule="auto"/>
        <w:ind w:right="-338"/>
        <w:jc w:val="both"/>
        <w:rPr>
          <w:rFonts w:eastAsia="Calibri" w:cstheme="minorHAnsi"/>
          <w:b/>
          <w:lang w:val="el-GR" w:eastAsia="en-GB"/>
        </w:rPr>
      </w:pPr>
    </w:p>
    <w:p w:rsidR="00B07851" w:rsidRPr="00CE0232" w:rsidRDefault="00B07851" w:rsidP="004A4819">
      <w:pPr>
        <w:spacing w:after="59" w:line="240" w:lineRule="auto"/>
        <w:ind w:right="-338"/>
        <w:jc w:val="both"/>
        <w:rPr>
          <w:rFonts w:eastAsia="Calibri" w:cstheme="minorHAnsi"/>
          <w:b/>
          <w:sz w:val="28"/>
          <w:szCs w:val="28"/>
          <w:lang w:val="el-GR" w:eastAsia="en-GB"/>
        </w:rPr>
      </w:pPr>
    </w:p>
    <w:p w:rsidR="00616643" w:rsidRPr="00CE0232" w:rsidRDefault="00B07851" w:rsidP="004A4819">
      <w:pPr>
        <w:spacing w:after="59" w:line="240" w:lineRule="auto"/>
        <w:ind w:right="-338"/>
        <w:jc w:val="both"/>
        <w:rPr>
          <w:rFonts w:eastAsia="Calibri" w:cstheme="minorHAnsi"/>
          <w:b/>
          <w:sz w:val="28"/>
          <w:szCs w:val="28"/>
          <w:lang w:val="el-GR" w:eastAsia="en-GB"/>
        </w:rPr>
      </w:pPr>
      <w:r w:rsidRPr="00CE0232">
        <w:rPr>
          <w:rFonts w:eastAsia="Calibri" w:cstheme="minorHAnsi"/>
          <w:b/>
          <w:sz w:val="28"/>
          <w:szCs w:val="28"/>
          <w:lang w:val="el-GR" w:eastAsia="en-GB"/>
        </w:rPr>
        <w:t>ΙΙ</w:t>
      </w:r>
      <w:r w:rsidR="00551BC0" w:rsidRPr="00CE0232">
        <w:rPr>
          <w:rFonts w:eastAsia="Calibri" w:cstheme="minorHAnsi"/>
          <w:b/>
          <w:sz w:val="28"/>
          <w:szCs w:val="28"/>
          <w:lang w:val="el-GR" w:eastAsia="en-GB"/>
        </w:rPr>
        <w:t xml:space="preserve">. </w:t>
      </w:r>
      <w:r w:rsidR="00616643" w:rsidRPr="00CE0232">
        <w:rPr>
          <w:rFonts w:eastAsia="Calibri" w:cstheme="minorHAnsi"/>
          <w:b/>
          <w:sz w:val="28"/>
          <w:szCs w:val="28"/>
          <w:lang w:val="el-GR" w:eastAsia="en-GB"/>
        </w:rPr>
        <w:t>ΚΑΤΑΓΡΑΦΗ ΤΗΣ ΚΑΤΑΣΤΑΣΗΣ ΣΤΟ ΔΗΜΟ ΑΜΑΡΟΥΣΙΟΥ</w:t>
      </w:r>
    </w:p>
    <w:p w:rsidR="00B07851" w:rsidRPr="00CE0232" w:rsidRDefault="00B07851" w:rsidP="004A4819">
      <w:pPr>
        <w:spacing w:after="59" w:line="240" w:lineRule="auto"/>
        <w:ind w:right="-338"/>
        <w:jc w:val="both"/>
        <w:rPr>
          <w:rFonts w:eastAsia="Calibri" w:cstheme="minorHAnsi"/>
          <w:b/>
          <w:sz w:val="28"/>
          <w:szCs w:val="28"/>
          <w:lang w:val="el-GR" w:eastAsia="en-GB"/>
        </w:rPr>
      </w:pPr>
    </w:p>
    <w:p w:rsidR="00616643" w:rsidRPr="00CE0232" w:rsidRDefault="00616643" w:rsidP="009D430F">
      <w:pPr>
        <w:spacing w:after="123" w:line="240" w:lineRule="auto"/>
        <w:ind w:left="-4" w:right="14" w:hanging="9"/>
        <w:jc w:val="both"/>
        <w:rPr>
          <w:rFonts w:eastAsia="Calibri" w:cstheme="minorHAnsi"/>
          <w:lang w:val="el-GR" w:eastAsia="en-GB"/>
        </w:rPr>
      </w:pPr>
      <w:r w:rsidRPr="00CE0232">
        <w:rPr>
          <w:rFonts w:eastAsia="Calibri" w:cstheme="minorHAnsi"/>
          <w:lang w:val="el-GR" w:eastAsia="en-GB"/>
        </w:rPr>
        <w:t xml:space="preserve">Ο Δήμος Αμαρουσίου έχει έκταση περίπου 13,41 </w:t>
      </w:r>
      <w:r w:rsidRPr="00CE0232">
        <w:rPr>
          <w:rFonts w:eastAsia="Calibri" w:cstheme="minorHAnsi"/>
          <w:lang w:eastAsia="en-GB"/>
        </w:rPr>
        <w:t>km</w:t>
      </w:r>
      <w:r w:rsidRPr="00CE0232">
        <w:rPr>
          <w:rFonts w:eastAsia="Calibri" w:cstheme="minorHAnsi"/>
          <w:vertAlign w:val="superscript"/>
          <w:lang w:val="el-GR" w:eastAsia="en-GB"/>
        </w:rPr>
        <w:t>2</w:t>
      </w:r>
      <w:r w:rsidRPr="00CE0232">
        <w:rPr>
          <w:rFonts w:eastAsia="Calibri" w:cstheme="minorHAnsi"/>
          <w:lang w:val="el-GR" w:eastAsia="en-GB"/>
        </w:rPr>
        <w:t xml:space="preserve"> και βρίσκεται 11 </w:t>
      </w:r>
      <w:r w:rsidRPr="00CE0232">
        <w:rPr>
          <w:rFonts w:eastAsia="Calibri" w:cstheme="minorHAnsi"/>
          <w:lang w:eastAsia="en-GB"/>
        </w:rPr>
        <w:t>km</w:t>
      </w:r>
      <w:r w:rsidRPr="00CE0232">
        <w:rPr>
          <w:rFonts w:eastAsia="Calibri" w:cstheme="minorHAnsi"/>
          <w:lang w:val="el-GR" w:eastAsia="en-GB"/>
        </w:rPr>
        <w:t xml:space="preserve"> βορειοανα</w:t>
      </w:r>
      <w:r w:rsidR="000E043F" w:rsidRPr="00CE0232">
        <w:rPr>
          <w:rFonts w:eastAsia="Calibri" w:cstheme="minorHAnsi"/>
          <w:lang w:val="el-GR" w:eastAsia="en-GB"/>
        </w:rPr>
        <w:t xml:space="preserve">τολικά από το κέντρο των Αθηνών, </w:t>
      </w:r>
      <w:r w:rsidRPr="00CE0232">
        <w:rPr>
          <w:rFonts w:eastAsia="Calibri" w:cstheme="minorHAnsi"/>
          <w:lang w:val="el-GR" w:eastAsia="en-GB"/>
        </w:rPr>
        <w:t>2</w:t>
      </w:r>
      <w:r w:rsidR="001925CE" w:rsidRPr="00CE0232">
        <w:rPr>
          <w:rFonts w:eastAsia="Calibri" w:cstheme="minorHAnsi"/>
          <w:lang w:val="el-GR" w:eastAsia="en-GB"/>
        </w:rPr>
        <w:t xml:space="preserve"> </w:t>
      </w:r>
      <w:r w:rsidRPr="00CE0232">
        <w:rPr>
          <w:rFonts w:eastAsia="Calibri" w:cstheme="minorHAnsi"/>
          <w:lang w:eastAsia="en-GB"/>
        </w:rPr>
        <w:t>km</w:t>
      </w:r>
      <w:r w:rsidRPr="00CE0232">
        <w:rPr>
          <w:rFonts w:eastAsia="Calibri" w:cstheme="minorHAnsi"/>
          <w:lang w:val="el-GR" w:eastAsia="en-GB"/>
        </w:rPr>
        <w:t xml:space="preserve"> νότια της Κηφισιάς και σε υψόμετρο 230</w:t>
      </w:r>
      <w:r w:rsidR="001925CE" w:rsidRPr="00CE0232">
        <w:rPr>
          <w:rFonts w:eastAsia="Calibri" w:cstheme="minorHAnsi"/>
          <w:lang w:val="el-GR" w:eastAsia="en-GB"/>
        </w:rPr>
        <w:t xml:space="preserve"> </w:t>
      </w:r>
      <w:r w:rsidRPr="00CE0232">
        <w:rPr>
          <w:rFonts w:eastAsia="Calibri" w:cstheme="minorHAnsi"/>
          <w:lang w:eastAsia="en-GB"/>
        </w:rPr>
        <w:t>m</w:t>
      </w:r>
      <w:r w:rsidRPr="00CE0232">
        <w:rPr>
          <w:rFonts w:eastAsia="Calibri" w:cstheme="minorHAnsi"/>
          <w:lang w:val="el-GR" w:eastAsia="en-GB"/>
        </w:rPr>
        <w:t xml:space="preserve">. </w:t>
      </w:r>
    </w:p>
    <w:p w:rsidR="00616643" w:rsidRPr="00CE0232" w:rsidRDefault="00616643" w:rsidP="009D430F">
      <w:pPr>
        <w:tabs>
          <w:tab w:val="center" w:pos="1708"/>
        </w:tabs>
        <w:spacing w:after="290" w:line="240" w:lineRule="auto"/>
        <w:ind w:left="-13"/>
        <w:jc w:val="both"/>
        <w:rPr>
          <w:rFonts w:eastAsia="Calibri" w:cstheme="minorHAnsi"/>
          <w:lang w:val="el-GR" w:eastAsia="en-GB"/>
        </w:rPr>
      </w:pPr>
      <w:r w:rsidRPr="00CE0232">
        <w:rPr>
          <w:rFonts w:eastAsia="Arial" w:cstheme="minorHAnsi"/>
          <w:b/>
          <w:i/>
          <w:lang w:val="el-GR" w:eastAsia="en-GB"/>
        </w:rPr>
        <w:tab/>
      </w:r>
      <w:r w:rsidR="009D430F" w:rsidRPr="00CE0232">
        <w:rPr>
          <w:rFonts w:eastAsia="Arial" w:cstheme="minorHAnsi"/>
          <w:b/>
          <w:i/>
          <w:lang w:val="el-GR" w:eastAsia="en-GB"/>
        </w:rPr>
        <w:t xml:space="preserve">Αναφορικά με την </w:t>
      </w:r>
      <w:r w:rsidRPr="00CE0232">
        <w:rPr>
          <w:rFonts w:eastAsia="Calibri" w:cstheme="minorHAnsi"/>
          <w:b/>
          <w:i/>
          <w:lang w:val="el-GR" w:eastAsia="en-GB"/>
        </w:rPr>
        <w:t>Πληθυσμιακή εξέλιξη</w:t>
      </w:r>
      <w:r w:rsidR="001925CE" w:rsidRPr="00CE0232">
        <w:rPr>
          <w:rFonts w:eastAsia="Calibri" w:cstheme="minorHAnsi"/>
          <w:b/>
          <w:i/>
          <w:lang w:val="el-GR" w:eastAsia="en-GB"/>
        </w:rPr>
        <w:t xml:space="preserve">, </w:t>
      </w:r>
      <w:r w:rsidR="001925CE" w:rsidRPr="00CE0232">
        <w:rPr>
          <w:rFonts w:eastAsia="Calibri" w:cstheme="minorHAnsi"/>
          <w:i/>
          <w:lang w:val="el-GR" w:eastAsia="en-GB"/>
        </w:rPr>
        <w:t>σ</w:t>
      </w:r>
      <w:r w:rsidRPr="00CE0232">
        <w:rPr>
          <w:rFonts w:eastAsia="Calibri" w:cstheme="minorHAnsi"/>
          <w:lang w:val="el-GR" w:eastAsia="en-GB"/>
        </w:rPr>
        <w:t xml:space="preserve">ύμφωνα με την πιο πρόσφατη </w:t>
      </w:r>
      <w:r w:rsidR="000E043F" w:rsidRPr="00CE0232">
        <w:rPr>
          <w:rFonts w:eastAsia="Calibri" w:cstheme="minorHAnsi"/>
          <w:lang w:val="el-GR" w:eastAsia="en-GB"/>
        </w:rPr>
        <w:t>α</w:t>
      </w:r>
      <w:r w:rsidRPr="00CE0232">
        <w:rPr>
          <w:rFonts w:eastAsia="Calibri" w:cstheme="minorHAnsi"/>
          <w:lang w:val="el-GR" w:eastAsia="en-GB"/>
        </w:rPr>
        <w:t xml:space="preserve">πογραφή </w:t>
      </w:r>
      <w:r w:rsidR="000E043F" w:rsidRPr="00CE0232">
        <w:rPr>
          <w:rFonts w:eastAsia="Calibri" w:cstheme="minorHAnsi"/>
          <w:lang w:val="el-GR" w:eastAsia="en-GB"/>
        </w:rPr>
        <w:t>π</w:t>
      </w:r>
      <w:r w:rsidRPr="00CE0232">
        <w:rPr>
          <w:rFonts w:eastAsia="Calibri" w:cstheme="minorHAnsi"/>
          <w:lang w:val="el-GR" w:eastAsia="en-GB"/>
        </w:rPr>
        <w:t>ληθυσμού (2011)</w:t>
      </w:r>
      <w:r w:rsidR="009D0EE0" w:rsidRPr="00CE0232">
        <w:rPr>
          <w:rFonts w:eastAsia="Calibri" w:cstheme="minorHAnsi"/>
          <w:lang w:val="el-GR" w:eastAsia="en-GB"/>
        </w:rPr>
        <w:t>,</w:t>
      </w:r>
      <w:r w:rsidRPr="00CE0232">
        <w:rPr>
          <w:rFonts w:eastAsia="Calibri" w:cstheme="minorHAnsi"/>
          <w:lang w:val="el-GR" w:eastAsia="en-GB"/>
        </w:rPr>
        <w:t xml:space="preserve"> ο μόνιμος πληθυσμός του Δήμου Αμαρουσίου ανέρχεται στους </w:t>
      </w:r>
      <w:r w:rsidRPr="00CE0232">
        <w:rPr>
          <w:rFonts w:eastAsia="Calibri" w:cstheme="minorHAnsi"/>
          <w:b/>
          <w:lang w:val="el-GR" w:eastAsia="en-GB"/>
        </w:rPr>
        <w:t>72.333</w:t>
      </w:r>
      <w:r w:rsidRPr="00CE0232">
        <w:rPr>
          <w:rFonts w:eastAsia="Calibri" w:cstheme="minorHAnsi"/>
          <w:lang w:val="el-GR" w:eastAsia="en-GB"/>
        </w:rPr>
        <w:t xml:space="preserve"> κατοίκους, εκ των οποίων οι </w:t>
      </w:r>
      <w:r w:rsidRPr="00CE0232">
        <w:rPr>
          <w:rFonts w:eastAsia="Calibri" w:cstheme="minorHAnsi"/>
          <w:b/>
          <w:lang w:val="el-GR" w:eastAsia="en-GB"/>
        </w:rPr>
        <w:t>33.738</w:t>
      </w:r>
      <w:r w:rsidRPr="00CE0232">
        <w:rPr>
          <w:rFonts w:eastAsia="Calibri" w:cstheme="minorHAnsi"/>
          <w:lang w:val="el-GR" w:eastAsia="en-GB"/>
        </w:rPr>
        <w:t xml:space="preserve"> είναι άνδρες και οι </w:t>
      </w:r>
      <w:r w:rsidRPr="00CE0232">
        <w:rPr>
          <w:rFonts w:eastAsia="Calibri" w:cstheme="minorHAnsi"/>
          <w:b/>
          <w:lang w:val="el-GR" w:eastAsia="en-GB"/>
        </w:rPr>
        <w:t>38.595</w:t>
      </w:r>
      <w:r w:rsidRPr="00CE0232">
        <w:rPr>
          <w:rFonts w:eastAsia="Calibri" w:cstheme="minorHAnsi"/>
          <w:lang w:val="el-GR" w:eastAsia="en-GB"/>
        </w:rPr>
        <w:t xml:space="preserve"> γυναίκες. Η πληθυσμιακή πυκνότητα ανέρχεται στους </w:t>
      </w:r>
      <w:r w:rsidRPr="00CE0232">
        <w:rPr>
          <w:rFonts w:eastAsia="Calibri" w:cstheme="minorHAnsi"/>
          <w:b/>
          <w:lang w:val="el-GR" w:eastAsia="en-GB"/>
        </w:rPr>
        <w:t>5.590,74 μόνιμους κατοίκους ανά  τετραγωνικό χιλιόμετρο</w:t>
      </w:r>
      <w:r w:rsidRPr="00CE0232">
        <w:rPr>
          <w:rFonts w:eastAsia="Calibri" w:cstheme="minorHAnsi"/>
          <w:lang w:val="el-GR" w:eastAsia="en-GB"/>
        </w:rPr>
        <w:t xml:space="preserve"> και κατά μέσον όρο </w:t>
      </w:r>
      <w:r w:rsidRPr="00CE0232">
        <w:rPr>
          <w:rFonts w:eastAsia="Calibri" w:cstheme="minorHAnsi"/>
          <w:b/>
          <w:lang w:val="el-GR" w:eastAsia="en-GB"/>
        </w:rPr>
        <w:t>2,5 μέλη ανά οικογένεια</w:t>
      </w:r>
      <w:r w:rsidRPr="00CE0232">
        <w:rPr>
          <w:rFonts w:eastAsia="Calibri" w:cstheme="minorHAnsi"/>
          <w:lang w:val="el-GR" w:eastAsia="en-GB"/>
        </w:rPr>
        <w:t xml:space="preserve">.  Η μέση ηλικία των κατοίκων του Δήμου Αμαρουσίου, σύμφωνα με την ΕΛ.ΣΤΑΤ. (2011), είναι τα 42 έτη.  </w:t>
      </w:r>
    </w:p>
    <w:p w:rsidR="003E3FFF" w:rsidRPr="00CE0232" w:rsidRDefault="00616643" w:rsidP="009D430F">
      <w:pPr>
        <w:spacing w:after="231" w:line="240" w:lineRule="auto"/>
        <w:ind w:left="-13" w:right="14"/>
        <w:jc w:val="both"/>
        <w:rPr>
          <w:rFonts w:eastAsia="Calibri" w:cstheme="minorHAnsi"/>
          <w:lang w:val="el-GR" w:eastAsia="en-GB"/>
        </w:rPr>
      </w:pPr>
      <w:r w:rsidRPr="00CE0232">
        <w:rPr>
          <w:rFonts w:eastAsia="Calibri" w:cstheme="minorHAnsi"/>
          <w:lang w:val="el-GR" w:eastAsia="en-GB"/>
        </w:rPr>
        <w:t>Πρέπει να τονιστεί ότι στο δήμο Αμαρουσίου λειτουργούν πολλές εταιρείες και στεγάζονται πολλά γραφεία και επιχειρήσεις, γεγονός το οποίο κατά τη διάρκεια της ημέρας αλλάζει εντελώς την πληθυσμιακή σύσταση του Δήμου. Η λειτουργία τ</w:t>
      </w:r>
      <w:r w:rsidR="00150731" w:rsidRPr="00CE0232">
        <w:rPr>
          <w:rFonts w:eastAsia="Calibri" w:cstheme="minorHAnsi"/>
          <w:lang w:val="el-GR" w:eastAsia="en-GB"/>
        </w:rPr>
        <w:t>ων</w:t>
      </w:r>
      <w:r w:rsidRPr="00CE0232">
        <w:rPr>
          <w:rFonts w:eastAsia="Calibri" w:cstheme="minorHAnsi"/>
          <w:lang w:val="el-GR" w:eastAsia="en-GB"/>
        </w:rPr>
        <w:t xml:space="preserve"> «</w:t>
      </w:r>
      <w:r w:rsidRPr="00CE0232">
        <w:rPr>
          <w:rFonts w:eastAsia="Calibri" w:cstheme="minorHAnsi"/>
          <w:lang w:eastAsia="en-GB"/>
        </w:rPr>
        <w:t>The</w:t>
      </w:r>
      <w:r w:rsidRPr="00CE0232">
        <w:rPr>
          <w:rFonts w:eastAsia="Calibri" w:cstheme="minorHAnsi"/>
          <w:lang w:val="el-GR" w:eastAsia="en-GB"/>
        </w:rPr>
        <w:t xml:space="preserve"> </w:t>
      </w:r>
      <w:r w:rsidRPr="00CE0232">
        <w:rPr>
          <w:rFonts w:eastAsia="Calibri" w:cstheme="minorHAnsi"/>
          <w:lang w:eastAsia="en-GB"/>
        </w:rPr>
        <w:t>Mall</w:t>
      </w:r>
      <w:r w:rsidRPr="00CE0232">
        <w:rPr>
          <w:rFonts w:eastAsia="Calibri" w:cstheme="minorHAnsi"/>
          <w:lang w:val="el-GR" w:eastAsia="en-GB"/>
        </w:rPr>
        <w:t xml:space="preserve"> </w:t>
      </w:r>
      <w:r w:rsidRPr="00CE0232">
        <w:rPr>
          <w:rFonts w:eastAsia="Calibri" w:cstheme="minorHAnsi"/>
          <w:lang w:eastAsia="en-GB"/>
        </w:rPr>
        <w:t>Athens</w:t>
      </w:r>
      <w:r w:rsidRPr="00CE0232">
        <w:rPr>
          <w:rFonts w:eastAsia="Calibri" w:cstheme="minorHAnsi"/>
          <w:lang w:val="el-GR" w:eastAsia="en-GB"/>
        </w:rPr>
        <w:t>», «</w:t>
      </w:r>
      <w:r w:rsidRPr="00CE0232">
        <w:rPr>
          <w:rFonts w:eastAsia="Calibri" w:cstheme="minorHAnsi"/>
          <w:lang w:eastAsia="en-GB"/>
        </w:rPr>
        <w:t>The</w:t>
      </w:r>
      <w:r w:rsidRPr="00CE0232">
        <w:rPr>
          <w:rFonts w:eastAsia="Calibri" w:cstheme="minorHAnsi"/>
          <w:lang w:val="el-GR" w:eastAsia="en-GB"/>
        </w:rPr>
        <w:t xml:space="preserve">  </w:t>
      </w:r>
      <w:r w:rsidRPr="00CE0232">
        <w:rPr>
          <w:rFonts w:eastAsia="Calibri" w:cstheme="minorHAnsi"/>
          <w:lang w:eastAsia="en-GB"/>
        </w:rPr>
        <w:t>Golden</w:t>
      </w:r>
      <w:r w:rsidRPr="00CE0232">
        <w:rPr>
          <w:rFonts w:eastAsia="Calibri" w:cstheme="minorHAnsi"/>
          <w:lang w:val="el-GR" w:eastAsia="en-GB"/>
        </w:rPr>
        <w:t xml:space="preserve"> </w:t>
      </w:r>
      <w:r w:rsidRPr="00CE0232">
        <w:rPr>
          <w:rFonts w:eastAsia="Calibri" w:cstheme="minorHAnsi"/>
          <w:lang w:eastAsia="en-GB"/>
        </w:rPr>
        <w:t>Hall</w:t>
      </w:r>
      <w:r w:rsidRPr="00CE0232">
        <w:rPr>
          <w:rFonts w:eastAsia="Calibri" w:cstheme="minorHAnsi"/>
          <w:lang w:val="el-GR" w:eastAsia="en-GB"/>
        </w:rPr>
        <w:t>» και  του  εμπορικού κέντρου «</w:t>
      </w:r>
      <w:r w:rsidRPr="00CE0232">
        <w:rPr>
          <w:rFonts w:eastAsia="Calibri" w:cstheme="minorHAnsi"/>
          <w:lang w:eastAsia="en-GB"/>
        </w:rPr>
        <w:t>Avenue</w:t>
      </w:r>
      <w:r w:rsidR="00522152" w:rsidRPr="00CE0232">
        <w:rPr>
          <w:rFonts w:eastAsia="Calibri" w:cstheme="minorHAnsi"/>
          <w:lang w:val="el-GR" w:eastAsia="en-GB"/>
        </w:rPr>
        <w:t>» έχουν μετα</w:t>
      </w:r>
      <w:r w:rsidRPr="00CE0232">
        <w:rPr>
          <w:rFonts w:eastAsia="Calibri" w:cstheme="minorHAnsi"/>
          <w:lang w:val="el-GR" w:eastAsia="en-GB"/>
        </w:rPr>
        <w:t xml:space="preserve">τρέψει το Δήμο σε </w:t>
      </w:r>
      <w:r w:rsidRPr="00CE0232">
        <w:rPr>
          <w:rFonts w:eastAsia="Calibri" w:cstheme="minorHAnsi"/>
          <w:b/>
          <w:u w:val="single" w:color="000000"/>
          <w:lang w:val="el-GR" w:eastAsia="en-GB"/>
        </w:rPr>
        <w:t>υπερτοπικό</w:t>
      </w:r>
      <w:r w:rsidRPr="00CE0232">
        <w:rPr>
          <w:rFonts w:eastAsia="Calibri" w:cstheme="minorHAnsi"/>
          <w:b/>
          <w:u w:val="single"/>
          <w:lang w:val="el-GR" w:eastAsia="en-GB"/>
        </w:rPr>
        <w:t xml:space="preserve"> </w:t>
      </w:r>
      <w:r w:rsidRPr="00CE0232">
        <w:rPr>
          <w:rFonts w:eastAsia="Calibri" w:cstheme="minorHAnsi"/>
          <w:b/>
          <w:u w:val="single" w:color="000000"/>
          <w:lang w:val="el-GR" w:eastAsia="en-GB"/>
        </w:rPr>
        <w:t>κέντρο</w:t>
      </w:r>
      <w:r w:rsidRPr="00CE0232">
        <w:rPr>
          <w:rFonts w:eastAsia="Calibri" w:cstheme="minorHAnsi"/>
          <w:lang w:val="el-GR" w:eastAsia="en-GB"/>
        </w:rPr>
        <w:t xml:space="preserve"> με αποτέλεσμα ο εξυπηρετούμενος πληθυσμός να είναι πολύ μεγαλύτερος (πάνω από</w:t>
      </w:r>
      <w:r w:rsidRPr="00CE0232">
        <w:rPr>
          <w:rFonts w:eastAsia="Calibri" w:cstheme="minorHAnsi"/>
          <w:b/>
          <w:u w:val="single" w:color="000000"/>
          <w:lang w:val="el-GR" w:eastAsia="en-GB"/>
        </w:rPr>
        <w:t xml:space="preserve"> 100.000</w:t>
      </w:r>
      <w:r w:rsidRPr="00CE0232">
        <w:rPr>
          <w:rFonts w:eastAsia="Calibri" w:cstheme="minorHAnsi"/>
          <w:lang w:val="el-GR" w:eastAsia="en-GB"/>
        </w:rPr>
        <w:t xml:space="preserve">). </w:t>
      </w:r>
      <w:r w:rsidR="003E3FFF" w:rsidRPr="00CE0232">
        <w:rPr>
          <w:rFonts w:eastAsia="Calibri" w:cstheme="minorHAnsi"/>
          <w:lang w:val="el-GR" w:eastAsia="en-GB"/>
        </w:rPr>
        <w:t>Στην</w:t>
      </w:r>
      <w:r w:rsidRPr="00CE0232">
        <w:rPr>
          <w:rFonts w:eastAsia="Calibri" w:cstheme="minorHAnsi"/>
          <w:lang w:val="el-GR" w:eastAsia="en-GB"/>
        </w:rPr>
        <w:t xml:space="preserve"> κατάσταση αυτή </w:t>
      </w:r>
      <w:r w:rsidR="003E3FFF" w:rsidRPr="00CE0232">
        <w:rPr>
          <w:rFonts w:eastAsia="Calibri" w:cstheme="minorHAnsi"/>
          <w:lang w:val="el-GR" w:eastAsia="en-GB"/>
        </w:rPr>
        <w:t xml:space="preserve">θα πρέπει να </w:t>
      </w:r>
      <w:r w:rsidRPr="00CE0232">
        <w:rPr>
          <w:rFonts w:eastAsia="Calibri" w:cstheme="minorHAnsi"/>
          <w:lang w:val="el-GR" w:eastAsia="en-GB"/>
        </w:rPr>
        <w:t xml:space="preserve">προστεθούν η μετεγκατάσταση του Υπουργείου Παιδείας (στο Ψαλίδι), καθώς και </w:t>
      </w:r>
      <w:r w:rsidR="003E3FFF" w:rsidRPr="00CE0232">
        <w:rPr>
          <w:rFonts w:eastAsia="Calibri" w:cstheme="minorHAnsi"/>
          <w:lang w:val="el-GR" w:eastAsia="en-GB"/>
        </w:rPr>
        <w:t xml:space="preserve">των γραφείων </w:t>
      </w:r>
      <w:r w:rsidRPr="00CE0232">
        <w:rPr>
          <w:rFonts w:eastAsia="Calibri" w:cstheme="minorHAnsi"/>
          <w:lang w:val="el-GR" w:eastAsia="en-GB"/>
        </w:rPr>
        <w:t xml:space="preserve">της </w:t>
      </w:r>
      <w:r w:rsidR="003E3FFF" w:rsidRPr="00CE0232">
        <w:rPr>
          <w:rFonts w:eastAsia="Calibri" w:cstheme="minorHAnsi"/>
          <w:lang w:val="el-GR" w:eastAsia="en-GB"/>
        </w:rPr>
        <w:t>αντιπεριφέρειας Βόρειου Τομέα</w:t>
      </w:r>
      <w:r w:rsidRPr="00CE0232">
        <w:rPr>
          <w:rFonts w:eastAsia="Calibri" w:cstheme="minorHAnsi"/>
          <w:lang w:val="el-GR" w:eastAsia="en-GB"/>
        </w:rPr>
        <w:t xml:space="preserve"> (στο Πολύδροσο)</w:t>
      </w:r>
      <w:r w:rsidR="003E3FFF" w:rsidRPr="00CE0232">
        <w:rPr>
          <w:rFonts w:eastAsia="Calibri" w:cstheme="minorHAnsi"/>
          <w:lang w:val="el-GR" w:eastAsia="en-GB"/>
        </w:rPr>
        <w:t>. Με τα δεδομένα αυτά</w:t>
      </w:r>
      <w:r w:rsidRPr="00CE0232">
        <w:rPr>
          <w:rFonts w:eastAsia="Calibri" w:cstheme="minorHAnsi"/>
          <w:lang w:val="el-GR" w:eastAsia="en-GB"/>
        </w:rPr>
        <w:t xml:space="preserve"> προφανώς </w:t>
      </w:r>
      <w:r w:rsidR="003E3FFF" w:rsidRPr="00CE0232">
        <w:rPr>
          <w:rFonts w:eastAsia="Calibri" w:cstheme="minorHAnsi"/>
          <w:lang w:val="el-GR" w:eastAsia="en-GB"/>
        </w:rPr>
        <w:t>ο αριθμός των</w:t>
      </w:r>
      <w:r w:rsidRPr="00CE0232">
        <w:rPr>
          <w:rFonts w:eastAsia="Calibri" w:cstheme="minorHAnsi"/>
          <w:lang w:val="el-GR" w:eastAsia="en-GB"/>
        </w:rPr>
        <w:t xml:space="preserve"> πολιτών που εξυπηρετούνται αυξάν</w:t>
      </w:r>
      <w:r w:rsidR="003E3FFF" w:rsidRPr="00CE0232">
        <w:rPr>
          <w:rFonts w:eastAsia="Calibri" w:cstheme="minorHAnsi"/>
          <w:lang w:val="el-GR" w:eastAsia="en-GB"/>
        </w:rPr>
        <w:t>ει</w:t>
      </w:r>
      <w:r w:rsidRPr="00CE0232">
        <w:rPr>
          <w:rFonts w:eastAsia="Calibri" w:cstheme="minorHAnsi"/>
          <w:lang w:val="el-GR" w:eastAsia="en-GB"/>
        </w:rPr>
        <w:t xml:space="preserve"> δραματικά συγκριτι</w:t>
      </w:r>
      <w:r w:rsidR="003E3FFF" w:rsidRPr="00CE0232">
        <w:rPr>
          <w:rFonts w:eastAsia="Calibri" w:cstheme="minorHAnsi"/>
          <w:lang w:val="el-GR" w:eastAsia="en-GB"/>
        </w:rPr>
        <w:t xml:space="preserve">κά με την πρότερη κατάσταση </w:t>
      </w:r>
      <w:r w:rsidRPr="00CE0232">
        <w:rPr>
          <w:rFonts w:eastAsia="Calibri" w:cstheme="minorHAnsi"/>
          <w:lang w:val="el-GR" w:eastAsia="en-GB"/>
        </w:rPr>
        <w:t>(προ των ολυμπιακών αγώνων).</w:t>
      </w:r>
      <w:r w:rsidR="003E3FFF" w:rsidRPr="00CE0232">
        <w:rPr>
          <w:rFonts w:eastAsia="Calibri" w:cstheme="minorHAnsi"/>
          <w:lang w:val="el-GR" w:eastAsia="en-GB"/>
        </w:rPr>
        <w:t xml:space="preserve"> </w:t>
      </w:r>
    </w:p>
    <w:p w:rsidR="000E043F" w:rsidRPr="00CE0232" w:rsidRDefault="00616643" w:rsidP="000E043F">
      <w:pPr>
        <w:spacing w:after="231" w:line="240" w:lineRule="auto"/>
        <w:ind w:left="-13" w:right="14"/>
        <w:jc w:val="both"/>
        <w:rPr>
          <w:rFonts w:eastAsia="Calibri" w:cstheme="minorHAnsi"/>
          <w:lang w:val="el-GR" w:eastAsia="en-GB"/>
        </w:rPr>
      </w:pPr>
      <w:r w:rsidRPr="00CE0232">
        <w:rPr>
          <w:rFonts w:eastAsia="Calibri" w:cstheme="minorHAnsi"/>
          <w:lang w:val="el-GR" w:eastAsia="en-GB"/>
        </w:rPr>
        <w:t>Το πλέον καθοριστικό τη</w:t>
      </w:r>
      <w:r w:rsidR="00150731" w:rsidRPr="00CE0232">
        <w:rPr>
          <w:rFonts w:eastAsia="Calibri" w:cstheme="minorHAnsi"/>
          <w:lang w:val="el-GR" w:eastAsia="en-GB"/>
        </w:rPr>
        <w:t>ν</w:t>
      </w:r>
      <w:r w:rsidRPr="00CE0232">
        <w:rPr>
          <w:rFonts w:eastAsia="Calibri" w:cstheme="minorHAnsi"/>
          <w:lang w:val="el-GR" w:eastAsia="en-GB"/>
        </w:rPr>
        <w:t xml:space="preserve"> περίοδο που διανύουμε είναι </w:t>
      </w:r>
      <w:r w:rsidRPr="00CE0232">
        <w:rPr>
          <w:rFonts w:eastAsia="Calibri" w:cstheme="minorHAnsi"/>
          <w:b/>
          <w:u w:val="single"/>
          <w:lang w:val="el-GR" w:eastAsia="en-GB"/>
        </w:rPr>
        <w:t>η αποτροπή της μεταφοράς του ΚΑΖΙΝΟ ΤΗΣ ΠΑΡΝΗΘΑΣ στο Κτήμα Δηλαβέρη</w:t>
      </w:r>
      <w:r w:rsidRPr="00CE0232">
        <w:rPr>
          <w:rFonts w:eastAsia="Calibri" w:cstheme="minorHAnsi"/>
          <w:lang w:val="el-GR" w:eastAsia="en-GB"/>
        </w:rPr>
        <w:t xml:space="preserve">. Και αυτό όχι μόνο για </w:t>
      </w:r>
      <w:r w:rsidR="006E5C47" w:rsidRPr="00CE0232">
        <w:rPr>
          <w:rFonts w:eastAsia="Calibri" w:cstheme="minorHAnsi"/>
          <w:lang w:val="el-GR" w:eastAsia="en-GB"/>
        </w:rPr>
        <w:t>ιδεολογικούς λόγους</w:t>
      </w:r>
      <w:r w:rsidR="003E3FFF" w:rsidRPr="00CE0232">
        <w:rPr>
          <w:rFonts w:eastAsia="Calibri" w:cstheme="minorHAnsi"/>
          <w:lang w:val="el-GR" w:eastAsia="en-GB"/>
        </w:rPr>
        <w:t xml:space="preserve"> και </w:t>
      </w:r>
      <w:r w:rsidR="006E5C47" w:rsidRPr="00CE0232">
        <w:rPr>
          <w:rFonts w:eastAsia="Calibri" w:cstheme="minorHAnsi"/>
          <w:lang w:val="el-GR" w:eastAsia="en-GB"/>
        </w:rPr>
        <w:t xml:space="preserve">λόγους </w:t>
      </w:r>
      <w:r w:rsidRPr="00CE0232">
        <w:rPr>
          <w:rFonts w:eastAsia="Calibri" w:cstheme="minorHAnsi"/>
          <w:lang w:val="el-GR" w:eastAsia="en-GB"/>
        </w:rPr>
        <w:t>πληθυσμιακή</w:t>
      </w:r>
      <w:r w:rsidR="006E5C47" w:rsidRPr="00CE0232">
        <w:rPr>
          <w:rFonts w:eastAsia="Calibri" w:cstheme="minorHAnsi"/>
          <w:lang w:val="el-GR" w:eastAsia="en-GB"/>
        </w:rPr>
        <w:t>ς</w:t>
      </w:r>
      <w:r w:rsidRPr="00CE0232">
        <w:rPr>
          <w:rFonts w:eastAsia="Calibri" w:cstheme="minorHAnsi"/>
          <w:lang w:val="el-GR" w:eastAsia="en-GB"/>
        </w:rPr>
        <w:t xml:space="preserve"> </w:t>
      </w:r>
      <w:r w:rsidR="003E3FFF" w:rsidRPr="00CE0232">
        <w:rPr>
          <w:rFonts w:eastAsia="Calibri" w:cstheme="minorHAnsi"/>
          <w:lang w:val="el-GR" w:eastAsia="en-GB"/>
        </w:rPr>
        <w:t xml:space="preserve">και κυκλοφοριακής </w:t>
      </w:r>
      <w:r w:rsidRPr="00CE0232">
        <w:rPr>
          <w:rFonts w:eastAsia="Calibri" w:cstheme="minorHAnsi"/>
          <w:lang w:val="el-GR" w:eastAsia="en-GB"/>
        </w:rPr>
        <w:t>επιβάρυνση</w:t>
      </w:r>
      <w:r w:rsidR="006E5C47" w:rsidRPr="00CE0232">
        <w:rPr>
          <w:rFonts w:eastAsia="Calibri" w:cstheme="minorHAnsi"/>
          <w:lang w:val="el-GR" w:eastAsia="en-GB"/>
        </w:rPr>
        <w:t>ς</w:t>
      </w:r>
      <w:r w:rsidRPr="00CE0232">
        <w:rPr>
          <w:rFonts w:eastAsia="Calibri" w:cstheme="minorHAnsi"/>
          <w:lang w:val="el-GR" w:eastAsia="en-GB"/>
        </w:rPr>
        <w:t xml:space="preserve"> αλλά και </w:t>
      </w:r>
      <w:r w:rsidR="003E3FFF" w:rsidRPr="00CE0232">
        <w:rPr>
          <w:rFonts w:eastAsia="Calibri" w:cstheme="minorHAnsi"/>
          <w:lang w:val="el-GR" w:eastAsia="en-GB"/>
        </w:rPr>
        <w:t xml:space="preserve">για </w:t>
      </w:r>
      <w:r w:rsidRPr="00CE0232">
        <w:rPr>
          <w:rFonts w:eastAsia="Calibri" w:cstheme="minorHAnsi"/>
          <w:lang w:val="el-GR" w:eastAsia="en-GB"/>
        </w:rPr>
        <w:t>την ριζική αλλαγή δραστηριοτήτων που θα επιφέρει όχι μόνο στο Μαρούσι αλλά και σε όλους τους γειτονικούς Δήμους (Χαλάνδρι,  Νέα Ιωνία, Ηράκλειο, Πεύκη  κ.α.).</w:t>
      </w:r>
      <w:r w:rsidR="00B94D77" w:rsidRPr="00CE0232">
        <w:rPr>
          <w:rFonts w:eastAsia="Calibri" w:cstheme="minorHAnsi"/>
          <w:lang w:val="el-GR" w:eastAsia="en-GB"/>
        </w:rPr>
        <w:t xml:space="preserve"> </w:t>
      </w:r>
    </w:p>
    <w:p w:rsidR="00616643" w:rsidRPr="00CE0232" w:rsidRDefault="00616643" w:rsidP="009D430F">
      <w:pPr>
        <w:spacing w:line="240" w:lineRule="auto"/>
        <w:jc w:val="both"/>
        <w:rPr>
          <w:rFonts w:cstheme="minorHAnsi"/>
          <w:b/>
          <w:u w:val="single"/>
          <w:lang w:val="el-GR"/>
        </w:rPr>
      </w:pPr>
      <w:r w:rsidRPr="00CE0232">
        <w:rPr>
          <w:rFonts w:cstheme="minorHAnsi"/>
          <w:b/>
          <w:noProof/>
          <w:u w:val="single"/>
          <w:lang w:val="el-GR" w:eastAsia="el-GR"/>
        </w:rPr>
        <w:drawing>
          <wp:inline distT="0" distB="0" distL="0" distR="0">
            <wp:extent cx="4962525" cy="3797436"/>
            <wp:effectExtent l="0" t="0" r="0" b="0"/>
            <wp:docPr id="15" name="Picture 15" descr="C:\Users\Christine\Desktop\ΠΟΛΙΤΙΚΑ ΣΥΝΔΙΚΑΛΙΣΤΙΚΑ ΚΟΙΝΩΝΙΚΑ\ΦΑΚΕΛΛΟΣ ΣΚΟΥΠΙΔΙΑ\ΑΡΧΕΙΟ ΚΙΤΣΑΚΗ\ΧΑΡΤΗΣ ΜΕ ΓΕΙΤΟΝΙΕΣ ΔΗΜΟΥ ΑΜΑΡΟΥΣ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esktop\ΠΟΛΙΤΙΚΑ ΣΥΝΔΙΚΑΛΙΣΤΙΚΑ ΚΟΙΝΩΝΙΚΑ\ΦΑΚΕΛΛΟΣ ΣΚΟΥΠΙΔΙΑ\ΑΡΧΕΙΟ ΚΙΤΣΑΚΗ\ΧΑΡΤΗΣ ΜΕ ΓΕΙΤΟΝΙΕΣ ΔΗΜΟΥ ΑΜΑΡΟΥΣΙΟΥ.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3615" cy="3844184"/>
                    </a:xfrm>
                    <a:prstGeom prst="rect">
                      <a:avLst/>
                    </a:prstGeom>
                    <a:noFill/>
                    <a:ln>
                      <a:noFill/>
                    </a:ln>
                  </pic:spPr>
                </pic:pic>
              </a:graphicData>
            </a:graphic>
          </wp:inline>
        </w:drawing>
      </w:r>
    </w:p>
    <w:p w:rsidR="005C77E3" w:rsidRPr="00CE0232" w:rsidRDefault="005C77E3" w:rsidP="009D430F">
      <w:pPr>
        <w:spacing w:line="240" w:lineRule="auto"/>
        <w:jc w:val="both"/>
        <w:rPr>
          <w:rFonts w:cstheme="minorHAnsi"/>
          <w:b/>
          <w:u w:val="single"/>
          <w:lang w:val="el-GR"/>
        </w:rPr>
      </w:pPr>
    </w:p>
    <w:p w:rsidR="000E043F" w:rsidRPr="00CE0232" w:rsidRDefault="000E043F" w:rsidP="000E043F">
      <w:pPr>
        <w:spacing w:after="5" w:line="240" w:lineRule="auto"/>
        <w:ind w:right="11" w:hanging="11"/>
        <w:jc w:val="both"/>
        <w:rPr>
          <w:rFonts w:eastAsia="Calibri" w:cstheme="minorHAnsi"/>
          <w:lang w:val="el-GR" w:eastAsia="en-GB"/>
        </w:rPr>
      </w:pPr>
      <w:r w:rsidRPr="00CE0232">
        <w:rPr>
          <w:rFonts w:cstheme="minorHAnsi"/>
          <w:lang w:val="el-GR"/>
        </w:rPr>
        <w:lastRenderedPageBreak/>
        <w:t>Ο Δήμος Αμαρουσίου χωρίζεται σε 17 Πολεοδομικές ενότητες (Κέντρο, Άγιος Νικόλαος, Νέο Τέρμα, Ψαλίδι, Αγία Φιλοθέη, Άγιος Θωμάς, Εργατικές Κατοικίες, Άγιοι Ανάργυροι, Ανάβρυτα, Κοκκινιά, Σωρός, Παράδεισος, Πολύδροσο, Νέο Μαρούσι, Στούντιο Α, Νέα Λέσβος, ΑΣΠΑΙΤΕ), 3 Ζώνες Οικιστικού Ελέγχου (Νέο Μαρούσι, Νέα Λέσβος, Σισμανόγλειο), τις περιοχές των αθλητικών εγκαταστάσεων ΟΑΚΑ και το  ΚΤΗΜΑ ΣΥΓΓΡΟΥ.</w:t>
      </w:r>
      <w:r w:rsidRPr="00CE0232">
        <w:rPr>
          <w:rFonts w:eastAsia="Calibri" w:cstheme="minorHAnsi"/>
          <w:lang w:val="el-GR" w:eastAsia="en-GB"/>
        </w:rPr>
        <w:t xml:space="preserve"> Χωροταξικά φαίνονται στον </w:t>
      </w:r>
      <w:r w:rsidR="007B60AF" w:rsidRPr="00CE0232">
        <w:rPr>
          <w:rFonts w:eastAsia="Calibri" w:cstheme="minorHAnsi"/>
          <w:lang w:val="el-GR" w:eastAsia="en-GB"/>
        </w:rPr>
        <w:t xml:space="preserve">χάρτη </w:t>
      </w:r>
      <w:r w:rsidRPr="00CE0232">
        <w:rPr>
          <w:rFonts w:eastAsia="Calibri" w:cstheme="minorHAnsi"/>
          <w:lang w:val="el-GR" w:eastAsia="en-GB"/>
        </w:rPr>
        <w:t>που παρατίθεται.</w:t>
      </w:r>
    </w:p>
    <w:p w:rsidR="007B60AF" w:rsidRPr="00CE0232" w:rsidRDefault="007B60AF" w:rsidP="000E043F">
      <w:pPr>
        <w:spacing w:after="5" w:line="240" w:lineRule="auto"/>
        <w:ind w:right="11" w:hanging="11"/>
        <w:jc w:val="both"/>
        <w:rPr>
          <w:rFonts w:eastAsia="Calibri" w:cstheme="minorHAnsi"/>
          <w:lang w:val="el-GR" w:eastAsia="en-GB"/>
        </w:rPr>
      </w:pPr>
    </w:p>
    <w:p w:rsidR="003C3593" w:rsidRPr="00CE0232" w:rsidRDefault="00616643" w:rsidP="009D430F">
      <w:pPr>
        <w:pStyle w:val="a3"/>
        <w:spacing w:line="240" w:lineRule="auto"/>
        <w:ind w:left="0" w:right="14"/>
        <w:jc w:val="both"/>
        <w:rPr>
          <w:rFonts w:eastAsia="Calibri" w:cstheme="minorHAnsi"/>
          <w:lang w:val="el-GR" w:eastAsia="en-GB"/>
        </w:rPr>
      </w:pPr>
      <w:r w:rsidRPr="00CE0232">
        <w:rPr>
          <w:rFonts w:eastAsia="Calibri" w:cstheme="minorHAnsi"/>
          <w:lang w:val="el-GR" w:eastAsia="en-GB"/>
        </w:rPr>
        <w:t xml:space="preserve">Σύμφωνα με στοιχεία </w:t>
      </w:r>
      <w:r w:rsidR="006E5C47" w:rsidRPr="00CE0232">
        <w:rPr>
          <w:rFonts w:eastAsia="Calibri" w:cstheme="minorHAnsi"/>
          <w:lang w:val="el-GR" w:eastAsia="en-GB"/>
        </w:rPr>
        <w:t xml:space="preserve">από το </w:t>
      </w:r>
      <w:r w:rsidRPr="00CE0232">
        <w:rPr>
          <w:rFonts w:eastAsia="Calibri" w:cstheme="minorHAnsi"/>
          <w:lang w:val="el-GR" w:eastAsia="en-GB"/>
        </w:rPr>
        <w:t>Δήμο</w:t>
      </w:r>
      <w:r w:rsidR="006E5C47" w:rsidRPr="00CE0232">
        <w:rPr>
          <w:rFonts w:eastAsia="Calibri" w:cstheme="minorHAnsi"/>
          <w:lang w:val="el-GR" w:eastAsia="en-GB"/>
        </w:rPr>
        <w:t xml:space="preserve"> Αμαρουσίου</w:t>
      </w:r>
      <w:r w:rsidRPr="00CE0232">
        <w:rPr>
          <w:rFonts w:eastAsia="Calibri" w:cstheme="minorHAnsi"/>
          <w:lang w:val="el-GR" w:eastAsia="en-GB"/>
        </w:rPr>
        <w:t xml:space="preserve">, τα στερεά απόβλητα που συλλέγονται κυμαίνονται για τα έτη 2012, 2013 και 2014 από </w:t>
      </w:r>
      <w:r w:rsidRPr="00CE0232">
        <w:rPr>
          <w:rFonts w:eastAsia="Calibri" w:cstheme="minorHAnsi"/>
          <w:b/>
          <w:lang w:val="el-GR" w:eastAsia="en-GB"/>
        </w:rPr>
        <w:t>38.000 έως 41.000 τόνους ετησίως</w:t>
      </w:r>
      <w:r w:rsidRPr="00CE0232">
        <w:rPr>
          <w:rFonts w:eastAsia="Calibri" w:cstheme="minorHAnsi"/>
          <w:lang w:val="el-GR" w:eastAsia="en-GB"/>
        </w:rPr>
        <w:t xml:space="preserve">. </w:t>
      </w:r>
      <w:r w:rsidR="00551BC0" w:rsidRPr="00CE0232">
        <w:rPr>
          <w:rFonts w:eastAsia="Calibri" w:cstheme="minorHAnsi"/>
          <w:lang w:val="el-GR" w:eastAsia="en-GB"/>
        </w:rPr>
        <w:t>Η ανακύκλωση πάντως παραμένει σε πολύ χαμηλά επίπεδα</w:t>
      </w:r>
      <w:r w:rsidR="007B60AF" w:rsidRPr="00CE0232">
        <w:rPr>
          <w:rFonts w:eastAsia="Calibri" w:cstheme="minorHAnsi"/>
          <w:lang w:val="el-GR" w:eastAsia="en-GB"/>
        </w:rPr>
        <w:t xml:space="preserve"> μέχρι και σήμερα</w:t>
      </w:r>
      <w:r w:rsidR="005C77E3" w:rsidRPr="00CE0232">
        <w:rPr>
          <w:rFonts w:eastAsia="Calibri" w:cstheme="minorHAnsi"/>
          <w:lang w:val="el-GR" w:eastAsia="en-GB"/>
        </w:rPr>
        <w:t xml:space="preserve"> (Πίνακας.1)</w:t>
      </w:r>
      <w:r w:rsidR="00603E00" w:rsidRPr="00CE0232">
        <w:rPr>
          <w:rFonts w:eastAsia="Calibri" w:cstheme="minorHAnsi"/>
          <w:lang w:val="el-GR" w:eastAsia="en-GB"/>
        </w:rPr>
        <w:t>:</w:t>
      </w:r>
    </w:p>
    <w:p w:rsidR="002B4552" w:rsidRPr="00CE0232" w:rsidRDefault="002B4552" w:rsidP="003D43CF">
      <w:pPr>
        <w:spacing w:after="59" w:line="240" w:lineRule="auto"/>
        <w:jc w:val="both"/>
        <w:rPr>
          <w:rFonts w:cstheme="minorHAnsi"/>
          <w:b/>
          <w:lang w:val="el-GR"/>
        </w:rPr>
      </w:pPr>
      <w:r w:rsidRPr="00CE0232">
        <w:rPr>
          <w:rFonts w:cstheme="minorHAnsi"/>
          <w:b/>
          <w:lang w:val="el-GR"/>
        </w:rPr>
        <w:t>Πίνακας</w:t>
      </w:r>
      <w:r w:rsidR="005C77E3" w:rsidRPr="00CE0232">
        <w:rPr>
          <w:rFonts w:cstheme="minorHAnsi"/>
          <w:b/>
          <w:lang w:val="el-GR"/>
        </w:rPr>
        <w:t xml:space="preserve"> 1</w:t>
      </w:r>
      <w:r w:rsidRPr="00CE0232">
        <w:rPr>
          <w:rFonts w:cstheme="minorHAnsi"/>
          <w:b/>
          <w:lang w:val="el-GR"/>
        </w:rPr>
        <w:t xml:space="preserve">. Μεταβολή των στοιχείων </w:t>
      </w:r>
      <w:r w:rsidR="002E4FD6" w:rsidRPr="00CE0232">
        <w:rPr>
          <w:rFonts w:cstheme="minorHAnsi"/>
          <w:b/>
          <w:lang w:val="el-GR"/>
        </w:rPr>
        <w:t xml:space="preserve">ΑΣΑ και </w:t>
      </w:r>
      <w:r w:rsidRPr="00CE0232">
        <w:rPr>
          <w:rFonts w:cstheme="minorHAnsi"/>
          <w:b/>
          <w:lang w:val="el-GR"/>
        </w:rPr>
        <w:t>ανακ</w:t>
      </w:r>
      <w:r w:rsidR="002E4FD6" w:rsidRPr="00CE0232">
        <w:rPr>
          <w:rFonts w:cstheme="minorHAnsi"/>
          <w:b/>
          <w:lang w:val="el-GR"/>
        </w:rPr>
        <w:t xml:space="preserve">ύκλωσης το 2018 </w:t>
      </w:r>
      <w:r w:rsidRPr="00CE0232">
        <w:rPr>
          <w:rFonts w:cstheme="minorHAnsi"/>
          <w:b/>
          <w:lang w:val="el-GR"/>
        </w:rPr>
        <w:t>έναντι του 2014</w:t>
      </w:r>
      <w:r w:rsidR="002E4FD6" w:rsidRPr="00CE0232">
        <w:rPr>
          <w:rFonts w:cstheme="minorHAnsi"/>
          <w:b/>
          <w:lang w:val="el-GR"/>
        </w:rPr>
        <w:t xml:space="preserve"> στο Δήμο Αμαρουσίου</w:t>
      </w:r>
    </w:p>
    <w:tbl>
      <w:tblPr>
        <w:tblStyle w:val="a4"/>
        <w:tblW w:w="0" w:type="auto"/>
        <w:jc w:val="center"/>
        <w:tblLayout w:type="fixed"/>
        <w:tblLook w:val="04A0"/>
      </w:tblPr>
      <w:tblGrid>
        <w:gridCol w:w="1990"/>
        <w:gridCol w:w="1124"/>
        <w:gridCol w:w="992"/>
        <w:gridCol w:w="1843"/>
        <w:gridCol w:w="2126"/>
      </w:tblGrid>
      <w:tr w:rsidR="00CE0232" w:rsidRPr="00CE0232" w:rsidTr="007B60AF">
        <w:trPr>
          <w:jc w:val="center"/>
        </w:trPr>
        <w:tc>
          <w:tcPr>
            <w:tcW w:w="1990" w:type="dxa"/>
          </w:tcPr>
          <w:p w:rsidR="00552548" w:rsidRPr="00CE0232" w:rsidRDefault="00552548" w:rsidP="004A24E4">
            <w:pPr>
              <w:spacing w:after="59"/>
              <w:jc w:val="both"/>
              <w:rPr>
                <w:rFonts w:eastAsia="Calibri" w:cstheme="minorHAnsi"/>
                <w:b/>
                <w:lang w:val="el-GR" w:eastAsia="en-GB"/>
              </w:rPr>
            </w:pPr>
            <w:r w:rsidRPr="00CE0232">
              <w:rPr>
                <w:rFonts w:eastAsia="Calibri" w:cstheme="minorHAnsi"/>
                <w:b/>
                <w:lang w:val="el-GR" w:eastAsia="en-GB"/>
              </w:rPr>
              <w:t>α/α</w:t>
            </w:r>
          </w:p>
        </w:tc>
        <w:tc>
          <w:tcPr>
            <w:tcW w:w="1124" w:type="dxa"/>
          </w:tcPr>
          <w:p w:rsidR="00552548" w:rsidRPr="00CE0232" w:rsidRDefault="00552548" w:rsidP="00552548">
            <w:pPr>
              <w:spacing w:after="59"/>
              <w:jc w:val="both"/>
              <w:rPr>
                <w:rFonts w:eastAsia="Calibri" w:cstheme="minorHAnsi"/>
                <w:b/>
                <w:lang w:val="el-GR" w:eastAsia="en-GB"/>
              </w:rPr>
            </w:pPr>
            <w:r w:rsidRPr="00CE0232">
              <w:rPr>
                <w:rFonts w:eastAsia="Calibri" w:cstheme="minorHAnsi"/>
                <w:b/>
                <w:lang w:val="el-GR" w:eastAsia="en-GB"/>
              </w:rPr>
              <w:t>2018</w:t>
            </w:r>
          </w:p>
        </w:tc>
        <w:tc>
          <w:tcPr>
            <w:tcW w:w="992" w:type="dxa"/>
          </w:tcPr>
          <w:p w:rsidR="00552548" w:rsidRPr="00CE0232" w:rsidRDefault="00552548" w:rsidP="004A24E4">
            <w:pPr>
              <w:spacing w:after="59"/>
              <w:jc w:val="both"/>
              <w:rPr>
                <w:rFonts w:eastAsia="Calibri" w:cstheme="minorHAnsi"/>
                <w:b/>
                <w:lang w:val="el-GR" w:eastAsia="en-GB"/>
              </w:rPr>
            </w:pPr>
            <w:r w:rsidRPr="00CE0232">
              <w:rPr>
                <w:rFonts w:eastAsia="Calibri" w:cstheme="minorHAnsi"/>
                <w:b/>
                <w:lang w:val="el-GR" w:eastAsia="en-GB"/>
              </w:rPr>
              <w:t>2014</w:t>
            </w:r>
          </w:p>
        </w:tc>
        <w:tc>
          <w:tcPr>
            <w:tcW w:w="1843" w:type="dxa"/>
          </w:tcPr>
          <w:p w:rsidR="00552548" w:rsidRPr="00CE0232" w:rsidRDefault="00552548" w:rsidP="004A24E4">
            <w:pPr>
              <w:spacing w:after="59"/>
              <w:jc w:val="both"/>
              <w:rPr>
                <w:rFonts w:eastAsia="Calibri" w:cstheme="minorHAnsi"/>
                <w:b/>
                <w:lang w:val="el-GR" w:eastAsia="en-GB"/>
              </w:rPr>
            </w:pPr>
            <w:r w:rsidRPr="00CE0232">
              <w:rPr>
                <w:rFonts w:eastAsia="Calibri" w:cstheme="minorHAnsi"/>
                <w:b/>
                <w:lang w:val="el-GR" w:eastAsia="en-GB"/>
              </w:rPr>
              <w:t xml:space="preserve">Απόλυτη μεταβολή 2018 έναντι 2014  </w:t>
            </w:r>
          </w:p>
        </w:tc>
        <w:tc>
          <w:tcPr>
            <w:tcW w:w="2126" w:type="dxa"/>
          </w:tcPr>
          <w:p w:rsidR="00552548" w:rsidRPr="00CE0232" w:rsidRDefault="00552548" w:rsidP="003809CB">
            <w:pPr>
              <w:spacing w:after="59"/>
              <w:jc w:val="both"/>
              <w:rPr>
                <w:rFonts w:eastAsia="Calibri" w:cstheme="minorHAnsi"/>
                <w:b/>
                <w:lang w:val="el-GR" w:eastAsia="en-GB"/>
              </w:rPr>
            </w:pPr>
            <w:r w:rsidRPr="00CE0232">
              <w:rPr>
                <w:rFonts w:eastAsia="Calibri" w:cstheme="minorHAnsi"/>
                <w:b/>
                <w:lang w:val="el-GR" w:eastAsia="en-GB"/>
              </w:rPr>
              <w:t xml:space="preserve">Μεταβολή % </w:t>
            </w:r>
          </w:p>
        </w:tc>
      </w:tr>
      <w:tr w:rsidR="00CE0232" w:rsidRPr="00CE0232" w:rsidTr="007B60AF">
        <w:trPr>
          <w:jc w:val="center"/>
        </w:trPr>
        <w:tc>
          <w:tcPr>
            <w:tcW w:w="1990" w:type="dxa"/>
          </w:tcPr>
          <w:p w:rsidR="00552548" w:rsidRPr="00CE0232" w:rsidRDefault="003809CB" w:rsidP="003809CB">
            <w:pPr>
              <w:spacing w:after="59"/>
              <w:jc w:val="both"/>
              <w:rPr>
                <w:rFonts w:eastAsia="Calibri" w:cstheme="minorHAnsi"/>
                <w:b/>
                <w:lang w:val="el-GR" w:eastAsia="en-GB"/>
              </w:rPr>
            </w:pPr>
            <w:r w:rsidRPr="00CE0232">
              <w:rPr>
                <w:rFonts w:eastAsia="Calibri" w:cstheme="minorHAnsi"/>
                <w:b/>
                <w:lang w:val="el-GR" w:eastAsia="en-GB"/>
              </w:rPr>
              <w:t>ΑΣΑ π</w:t>
            </w:r>
            <w:r w:rsidR="00552548" w:rsidRPr="00CE0232">
              <w:rPr>
                <w:rFonts w:eastAsia="Calibri" w:cstheme="minorHAnsi"/>
                <w:b/>
                <w:lang w:val="el-GR" w:eastAsia="en-GB"/>
              </w:rPr>
              <w:t>ρος ΧΥΤΑ</w:t>
            </w:r>
            <w:r w:rsidRPr="00CE0232">
              <w:rPr>
                <w:rFonts w:eastAsia="Calibri" w:cstheme="minorHAnsi"/>
                <w:b/>
                <w:lang w:val="el-GR" w:eastAsia="en-GB"/>
              </w:rPr>
              <w:t xml:space="preserve"> </w:t>
            </w:r>
            <w:r w:rsidR="002B4552" w:rsidRPr="00CE0232">
              <w:rPr>
                <w:rFonts w:eastAsia="Calibri" w:cstheme="minorHAnsi"/>
                <w:b/>
                <w:lang w:val="el-GR" w:eastAsia="en-GB"/>
              </w:rPr>
              <w:t>Φυλή</w:t>
            </w:r>
            <w:r w:rsidRPr="00CE0232">
              <w:rPr>
                <w:rFonts w:eastAsia="Calibri" w:cstheme="minorHAnsi"/>
                <w:b/>
                <w:lang w:val="el-GR" w:eastAsia="en-GB"/>
              </w:rPr>
              <w:t>ς (</w:t>
            </w:r>
            <w:r w:rsidRPr="00CE0232">
              <w:rPr>
                <w:rFonts w:eastAsia="Calibri" w:cstheme="minorHAnsi"/>
                <w:b/>
                <w:lang w:eastAsia="en-GB"/>
              </w:rPr>
              <w:t>tn</w:t>
            </w:r>
            <w:r w:rsidRPr="00CE0232">
              <w:rPr>
                <w:rFonts w:eastAsia="Calibri" w:cstheme="minorHAnsi"/>
                <w:b/>
                <w:lang w:val="el-GR" w:eastAsia="en-GB"/>
              </w:rPr>
              <w:t>)</w:t>
            </w:r>
          </w:p>
        </w:tc>
        <w:tc>
          <w:tcPr>
            <w:tcW w:w="1124" w:type="dxa"/>
          </w:tcPr>
          <w:p w:rsidR="00552548" w:rsidRPr="00CE0232" w:rsidRDefault="002E4FD6" w:rsidP="002E4FD6">
            <w:pPr>
              <w:spacing w:after="59"/>
              <w:jc w:val="both"/>
              <w:rPr>
                <w:rFonts w:eastAsia="Calibri" w:cstheme="minorHAnsi"/>
                <w:b/>
                <w:lang w:eastAsia="en-GB"/>
              </w:rPr>
            </w:pPr>
            <w:r w:rsidRPr="00CE0232">
              <w:rPr>
                <w:rFonts w:eastAsia="Calibri" w:cstheme="minorHAnsi"/>
                <w:b/>
                <w:lang w:eastAsia="en-GB"/>
              </w:rPr>
              <w:t>3</w:t>
            </w:r>
            <w:r w:rsidRPr="00CE0232">
              <w:rPr>
                <w:rFonts w:eastAsia="Calibri" w:cstheme="minorHAnsi"/>
                <w:b/>
                <w:lang w:val="el-GR" w:eastAsia="en-GB"/>
              </w:rPr>
              <w:t>5</w:t>
            </w:r>
            <w:r w:rsidRPr="00CE0232">
              <w:rPr>
                <w:rFonts w:eastAsia="Calibri" w:cstheme="minorHAnsi"/>
                <w:b/>
                <w:lang w:eastAsia="en-GB"/>
              </w:rPr>
              <w:t>.</w:t>
            </w:r>
            <w:r w:rsidRPr="00CE0232">
              <w:rPr>
                <w:rFonts w:eastAsia="Calibri" w:cstheme="minorHAnsi"/>
                <w:b/>
                <w:lang w:val="el-GR" w:eastAsia="en-GB"/>
              </w:rPr>
              <w:t>108</w:t>
            </w:r>
          </w:p>
        </w:tc>
        <w:tc>
          <w:tcPr>
            <w:tcW w:w="992" w:type="dxa"/>
          </w:tcPr>
          <w:p w:rsidR="00552548" w:rsidRPr="00CE0232" w:rsidRDefault="00C03045" w:rsidP="004A24E4">
            <w:pPr>
              <w:spacing w:after="59"/>
              <w:jc w:val="both"/>
              <w:rPr>
                <w:rFonts w:eastAsia="Calibri" w:cstheme="minorHAnsi"/>
                <w:b/>
                <w:lang w:val="el-GR" w:eastAsia="en-GB"/>
              </w:rPr>
            </w:pPr>
            <w:r w:rsidRPr="00CE0232">
              <w:rPr>
                <w:rFonts w:eastAsia="Calibri" w:cstheme="minorHAnsi"/>
                <w:b/>
              </w:rPr>
              <w:t>38.745</w:t>
            </w:r>
          </w:p>
        </w:tc>
        <w:tc>
          <w:tcPr>
            <w:tcW w:w="1843" w:type="dxa"/>
          </w:tcPr>
          <w:p w:rsidR="00552548" w:rsidRPr="00CE0232" w:rsidRDefault="00C03045" w:rsidP="004A24E4">
            <w:pPr>
              <w:spacing w:after="59"/>
              <w:jc w:val="both"/>
              <w:rPr>
                <w:rFonts w:eastAsia="Calibri" w:cstheme="minorHAnsi"/>
                <w:b/>
                <w:lang w:val="el-GR" w:eastAsia="en-GB"/>
              </w:rPr>
            </w:pPr>
            <w:r w:rsidRPr="00CE0232">
              <w:rPr>
                <w:rFonts w:eastAsia="Calibri" w:cstheme="minorHAnsi"/>
                <w:b/>
                <w:lang w:val="el-GR" w:eastAsia="en-GB"/>
              </w:rPr>
              <w:t>-</w:t>
            </w:r>
            <w:r w:rsidR="002E4FD6" w:rsidRPr="00CE0232">
              <w:rPr>
                <w:rFonts w:eastAsia="Calibri" w:cstheme="minorHAnsi"/>
                <w:b/>
                <w:lang w:val="el-GR" w:eastAsia="en-GB"/>
              </w:rPr>
              <w:t>1.197</w:t>
            </w:r>
          </w:p>
        </w:tc>
        <w:tc>
          <w:tcPr>
            <w:tcW w:w="2126" w:type="dxa"/>
          </w:tcPr>
          <w:p w:rsidR="00552548" w:rsidRPr="00CE0232" w:rsidRDefault="00BF4268" w:rsidP="004A24E4">
            <w:pPr>
              <w:spacing w:after="59"/>
              <w:jc w:val="both"/>
              <w:rPr>
                <w:rFonts w:eastAsia="Calibri" w:cstheme="minorHAnsi"/>
                <w:b/>
                <w:lang w:val="el-GR" w:eastAsia="en-GB"/>
              </w:rPr>
            </w:pPr>
            <w:r w:rsidRPr="00CE0232">
              <w:rPr>
                <w:rFonts w:eastAsia="Calibri" w:cstheme="minorHAnsi"/>
                <w:b/>
                <w:lang w:val="el-GR" w:eastAsia="en-GB"/>
              </w:rPr>
              <w:t>3,089 (μείωση)</w:t>
            </w:r>
          </w:p>
        </w:tc>
      </w:tr>
      <w:tr w:rsidR="00CE0232" w:rsidRPr="00CE0232" w:rsidTr="007B60AF">
        <w:trPr>
          <w:jc w:val="center"/>
        </w:trPr>
        <w:tc>
          <w:tcPr>
            <w:tcW w:w="1990" w:type="dxa"/>
          </w:tcPr>
          <w:p w:rsidR="00552548" w:rsidRPr="00CE0232" w:rsidRDefault="002B4552" w:rsidP="003809CB">
            <w:pPr>
              <w:spacing w:after="59"/>
              <w:jc w:val="both"/>
              <w:rPr>
                <w:rFonts w:eastAsia="Calibri" w:cstheme="minorHAnsi"/>
                <w:b/>
                <w:lang w:val="el-GR" w:eastAsia="en-GB"/>
              </w:rPr>
            </w:pPr>
            <w:r w:rsidRPr="00CE0232">
              <w:rPr>
                <w:rFonts w:eastAsia="Calibri" w:cstheme="minorHAnsi"/>
                <w:b/>
                <w:lang w:val="el-GR" w:eastAsia="en-GB"/>
              </w:rPr>
              <w:t>Προς</w:t>
            </w:r>
            <w:r w:rsidR="003809CB" w:rsidRPr="00CE0232">
              <w:rPr>
                <w:rFonts w:eastAsia="Calibri" w:cstheme="minorHAnsi"/>
                <w:b/>
                <w:lang w:val="el-GR" w:eastAsia="en-GB"/>
              </w:rPr>
              <w:t xml:space="preserve"> ΚΔΑΥ (</w:t>
            </w:r>
            <w:r w:rsidR="003809CB" w:rsidRPr="00CE0232">
              <w:rPr>
                <w:rFonts w:eastAsia="Calibri" w:cstheme="minorHAnsi"/>
                <w:b/>
                <w:lang w:val="de-DE" w:eastAsia="en-GB"/>
              </w:rPr>
              <w:t>tn</w:t>
            </w:r>
            <w:r w:rsidR="003809CB" w:rsidRPr="00CE0232">
              <w:rPr>
                <w:rFonts w:eastAsia="Calibri" w:cstheme="minorHAnsi"/>
                <w:b/>
                <w:lang w:val="el-GR" w:eastAsia="en-GB"/>
              </w:rPr>
              <w:t>)</w:t>
            </w:r>
          </w:p>
        </w:tc>
        <w:tc>
          <w:tcPr>
            <w:tcW w:w="1124" w:type="dxa"/>
          </w:tcPr>
          <w:p w:rsidR="00552548" w:rsidRPr="00CE0232" w:rsidRDefault="003809CB" w:rsidP="002E4FD6">
            <w:pPr>
              <w:spacing w:after="59"/>
              <w:jc w:val="both"/>
              <w:rPr>
                <w:rFonts w:eastAsia="Calibri" w:cstheme="minorHAnsi"/>
                <w:b/>
                <w:lang w:eastAsia="en-GB"/>
              </w:rPr>
            </w:pPr>
            <w:r w:rsidRPr="00CE0232">
              <w:rPr>
                <w:rFonts w:eastAsia="Calibri" w:cstheme="minorHAnsi"/>
                <w:b/>
                <w:lang w:eastAsia="en-GB"/>
              </w:rPr>
              <w:t>2.128</w:t>
            </w:r>
          </w:p>
        </w:tc>
        <w:tc>
          <w:tcPr>
            <w:tcW w:w="992" w:type="dxa"/>
          </w:tcPr>
          <w:p w:rsidR="00552548" w:rsidRPr="00CE0232" w:rsidRDefault="002E4FD6" w:rsidP="004A24E4">
            <w:pPr>
              <w:spacing w:after="59"/>
              <w:jc w:val="both"/>
              <w:rPr>
                <w:rFonts w:eastAsia="Calibri" w:cstheme="minorHAnsi"/>
                <w:b/>
                <w:lang w:eastAsia="en-GB"/>
              </w:rPr>
            </w:pPr>
            <w:r w:rsidRPr="00CE0232">
              <w:rPr>
                <w:rFonts w:eastAsia="Calibri" w:cstheme="minorHAnsi"/>
                <w:b/>
                <w:lang w:eastAsia="en-GB"/>
              </w:rPr>
              <w:t>2.534</w:t>
            </w:r>
          </w:p>
        </w:tc>
        <w:tc>
          <w:tcPr>
            <w:tcW w:w="1843" w:type="dxa"/>
          </w:tcPr>
          <w:p w:rsidR="00552548" w:rsidRPr="00CE0232" w:rsidRDefault="00C03045" w:rsidP="004A24E4">
            <w:pPr>
              <w:spacing w:after="59"/>
              <w:jc w:val="both"/>
              <w:rPr>
                <w:rFonts w:eastAsia="Calibri" w:cstheme="minorHAnsi"/>
                <w:b/>
                <w:lang w:val="el-GR" w:eastAsia="en-GB"/>
              </w:rPr>
            </w:pPr>
            <w:r w:rsidRPr="00CE0232">
              <w:rPr>
                <w:rFonts w:eastAsia="Calibri" w:cstheme="minorHAnsi"/>
                <w:b/>
                <w:lang w:val="el-GR" w:eastAsia="en-GB"/>
              </w:rPr>
              <w:t>-406</w:t>
            </w:r>
          </w:p>
        </w:tc>
        <w:tc>
          <w:tcPr>
            <w:tcW w:w="2126" w:type="dxa"/>
          </w:tcPr>
          <w:p w:rsidR="00552548" w:rsidRPr="00CE0232" w:rsidRDefault="00BF4268" w:rsidP="00BF4268">
            <w:pPr>
              <w:spacing w:after="59"/>
              <w:jc w:val="both"/>
              <w:rPr>
                <w:rFonts w:eastAsia="Calibri" w:cstheme="minorHAnsi"/>
                <w:b/>
                <w:lang w:val="el-GR" w:eastAsia="en-GB"/>
              </w:rPr>
            </w:pPr>
            <w:r w:rsidRPr="00CE0232">
              <w:rPr>
                <w:rFonts w:eastAsia="Calibri" w:cstheme="minorHAnsi"/>
                <w:b/>
                <w:lang w:val="el-GR" w:eastAsia="en-GB"/>
              </w:rPr>
              <w:t>16,022 (μείωση)</w:t>
            </w:r>
          </w:p>
        </w:tc>
      </w:tr>
      <w:tr w:rsidR="00CE0232" w:rsidRPr="00CE0232" w:rsidTr="007B60AF">
        <w:trPr>
          <w:jc w:val="center"/>
        </w:trPr>
        <w:tc>
          <w:tcPr>
            <w:tcW w:w="1990" w:type="dxa"/>
          </w:tcPr>
          <w:p w:rsidR="00552548" w:rsidRPr="00CE0232" w:rsidRDefault="002B4552" w:rsidP="004A24E4">
            <w:pPr>
              <w:spacing w:after="59"/>
              <w:jc w:val="both"/>
              <w:rPr>
                <w:rFonts w:eastAsia="Calibri" w:cstheme="minorHAnsi"/>
                <w:b/>
                <w:lang w:eastAsia="en-GB"/>
              </w:rPr>
            </w:pPr>
            <w:r w:rsidRPr="00CE0232">
              <w:rPr>
                <w:rFonts w:eastAsia="Calibri" w:cstheme="minorHAnsi"/>
                <w:b/>
                <w:lang w:val="el-GR" w:eastAsia="en-GB"/>
              </w:rPr>
              <w:t>ΣΥΝΟΛΟ</w:t>
            </w:r>
            <w:r w:rsidR="003809CB" w:rsidRPr="00CE0232">
              <w:rPr>
                <w:rFonts w:eastAsia="Calibri" w:cstheme="minorHAnsi"/>
                <w:b/>
                <w:lang w:val="el-GR" w:eastAsia="en-GB"/>
              </w:rPr>
              <w:t xml:space="preserve"> </w:t>
            </w:r>
            <w:r w:rsidR="00C03045" w:rsidRPr="00CE0232">
              <w:rPr>
                <w:rFonts w:eastAsia="Calibri" w:cstheme="minorHAnsi"/>
                <w:b/>
                <w:lang w:val="el-GR" w:eastAsia="en-GB"/>
              </w:rPr>
              <w:t xml:space="preserve">ΑΣΑ </w:t>
            </w:r>
            <w:r w:rsidR="003809CB" w:rsidRPr="00CE0232">
              <w:rPr>
                <w:rFonts w:eastAsia="Calibri" w:cstheme="minorHAnsi"/>
                <w:b/>
                <w:lang w:val="el-GR" w:eastAsia="en-GB"/>
              </w:rPr>
              <w:t>(</w:t>
            </w:r>
            <w:r w:rsidR="003809CB" w:rsidRPr="00CE0232">
              <w:rPr>
                <w:rFonts w:eastAsia="Calibri" w:cstheme="minorHAnsi"/>
                <w:b/>
                <w:lang w:eastAsia="en-GB"/>
              </w:rPr>
              <w:t>tn)</w:t>
            </w:r>
          </w:p>
        </w:tc>
        <w:tc>
          <w:tcPr>
            <w:tcW w:w="1124" w:type="dxa"/>
          </w:tcPr>
          <w:p w:rsidR="00552548" w:rsidRPr="00CE0232" w:rsidRDefault="002B4552" w:rsidP="002E4FD6">
            <w:pPr>
              <w:spacing w:after="59"/>
              <w:jc w:val="both"/>
              <w:rPr>
                <w:rFonts w:eastAsia="Calibri" w:cstheme="minorHAnsi"/>
                <w:b/>
                <w:lang w:eastAsia="en-GB"/>
              </w:rPr>
            </w:pPr>
            <w:r w:rsidRPr="00CE0232">
              <w:rPr>
                <w:rFonts w:eastAsia="Calibri" w:cstheme="minorHAnsi"/>
                <w:b/>
                <w:lang w:val="el-GR" w:eastAsia="en-GB"/>
              </w:rPr>
              <w:t>40.070</w:t>
            </w:r>
          </w:p>
        </w:tc>
        <w:tc>
          <w:tcPr>
            <w:tcW w:w="992" w:type="dxa"/>
          </w:tcPr>
          <w:p w:rsidR="00552548" w:rsidRPr="00CE0232" w:rsidRDefault="002E4FD6" w:rsidP="004A24E4">
            <w:pPr>
              <w:spacing w:after="59"/>
              <w:jc w:val="both"/>
              <w:rPr>
                <w:rFonts w:eastAsia="Calibri" w:cstheme="minorHAnsi"/>
                <w:b/>
                <w:lang w:val="el-GR" w:eastAsia="en-GB"/>
              </w:rPr>
            </w:pPr>
            <w:r w:rsidRPr="00CE0232">
              <w:rPr>
                <w:rFonts w:eastAsia="Calibri" w:cstheme="minorHAnsi"/>
                <w:b/>
                <w:lang w:val="el-GR" w:eastAsia="en-GB"/>
              </w:rPr>
              <w:t>39.279</w:t>
            </w:r>
          </w:p>
        </w:tc>
        <w:tc>
          <w:tcPr>
            <w:tcW w:w="1843" w:type="dxa"/>
          </w:tcPr>
          <w:p w:rsidR="00552548" w:rsidRPr="00CE0232" w:rsidRDefault="00C03045" w:rsidP="004A24E4">
            <w:pPr>
              <w:spacing w:after="59"/>
              <w:jc w:val="both"/>
              <w:rPr>
                <w:rFonts w:eastAsia="Calibri" w:cstheme="minorHAnsi"/>
                <w:b/>
                <w:lang w:val="el-GR" w:eastAsia="en-GB"/>
              </w:rPr>
            </w:pPr>
            <w:r w:rsidRPr="00CE0232">
              <w:rPr>
                <w:rFonts w:eastAsia="Calibri" w:cstheme="minorHAnsi"/>
                <w:b/>
                <w:lang w:val="el-GR" w:eastAsia="en-GB"/>
              </w:rPr>
              <w:t>791</w:t>
            </w:r>
          </w:p>
        </w:tc>
        <w:tc>
          <w:tcPr>
            <w:tcW w:w="2126" w:type="dxa"/>
          </w:tcPr>
          <w:p w:rsidR="00552548" w:rsidRPr="00CE0232" w:rsidRDefault="00BF4268" w:rsidP="004A24E4">
            <w:pPr>
              <w:spacing w:after="59"/>
              <w:jc w:val="both"/>
              <w:rPr>
                <w:rFonts w:eastAsia="Calibri" w:cstheme="minorHAnsi"/>
                <w:b/>
                <w:lang w:val="el-GR" w:eastAsia="en-GB"/>
              </w:rPr>
            </w:pPr>
            <w:r w:rsidRPr="00CE0232">
              <w:rPr>
                <w:rFonts w:eastAsia="Calibri" w:cstheme="minorHAnsi"/>
                <w:b/>
                <w:lang w:val="el-GR" w:eastAsia="en-GB"/>
              </w:rPr>
              <w:t>2,014 (αύξηση)</w:t>
            </w:r>
          </w:p>
        </w:tc>
      </w:tr>
      <w:tr w:rsidR="00C03045" w:rsidRPr="00CE0232" w:rsidTr="007B60AF">
        <w:trPr>
          <w:jc w:val="center"/>
        </w:trPr>
        <w:tc>
          <w:tcPr>
            <w:tcW w:w="1990" w:type="dxa"/>
          </w:tcPr>
          <w:p w:rsidR="00C03045" w:rsidRPr="00CE0232" w:rsidRDefault="00C03045" w:rsidP="004A24E4">
            <w:pPr>
              <w:spacing w:after="59"/>
              <w:jc w:val="both"/>
              <w:rPr>
                <w:rFonts w:eastAsia="Calibri" w:cstheme="minorHAnsi"/>
                <w:b/>
                <w:lang w:val="el-GR" w:eastAsia="en-GB"/>
              </w:rPr>
            </w:pPr>
            <w:r w:rsidRPr="00CE0232">
              <w:rPr>
                <w:rFonts w:eastAsia="Calibri" w:cstheme="minorHAnsi"/>
                <w:b/>
                <w:lang w:val="el-GR" w:eastAsia="en-GB"/>
              </w:rPr>
              <w:t>Ποσοστό ανακύκλωσης (ΚΔΑΥ/ΣΥΝΟΛΟ ΑΣΑ)</w:t>
            </w:r>
          </w:p>
        </w:tc>
        <w:tc>
          <w:tcPr>
            <w:tcW w:w="1124" w:type="dxa"/>
          </w:tcPr>
          <w:p w:rsidR="00C03045" w:rsidRPr="00CE0232" w:rsidRDefault="00BF4268" w:rsidP="002E4FD6">
            <w:pPr>
              <w:spacing w:after="59"/>
              <w:jc w:val="both"/>
              <w:rPr>
                <w:rFonts w:eastAsia="Calibri" w:cstheme="minorHAnsi"/>
                <w:b/>
                <w:lang w:val="el-GR" w:eastAsia="en-GB"/>
              </w:rPr>
            </w:pPr>
            <w:r w:rsidRPr="00CE0232">
              <w:rPr>
                <w:rFonts w:eastAsia="Calibri" w:cstheme="minorHAnsi"/>
                <w:b/>
                <w:lang w:val="el-GR" w:eastAsia="en-GB"/>
              </w:rPr>
              <w:t>5,31</w:t>
            </w:r>
          </w:p>
        </w:tc>
        <w:tc>
          <w:tcPr>
            <w:tcW w:w="992" w:type="dxa"/>
          </w:tcPr>
          <w:p w:rsidR="00C03045" w:rsidRPr="00CE0232" w:rsidRDefault="00BF4268" w:rsidP="004A24E4">
            <w:pPr>
              <w:spacing w:after="59"/>
              <w:jc w:val="both"/>
              <w:rPr>
                <w:rFonts w:eastAsia="Calibri" w:cstheme="minorHAnsi"/>
                <w:b/>
                <w:lang w:val="el-GR" w:eastAsia="en-GB"/>
              </w:rPr>
            </w:pPr>
            <w:r w:rsidRPr="00CE0232">
              <w:rPr>
                <w:rFonts w:eastAsia="Calibri" w:cstheme="minorHAnsi"/>
                <w:b/>
                <w:lang w:val="el-GR" w:eastAsia="en-GB"/>
              </w:rPr>
              <w:t>6,45</w:t>
            </w:r>
          </w:p>
        </w:tc>
        <w:tc>
          <w:tcPr>
            <w:tcW w:w="1843" w:type="dxa"/>
          </w:tcPr>
          <w:p w:rsidR="00C03045" w:rsidRPr="00CE0232" w:rsidRDefault="00BF4268" w:rsidP="004A24E4">
            <w:pPr>
              <w:spacing w:after="59"/>
              <w:jc w:val="both"/>
              <w:rPr>
                <w:rFonts w:eastAsia="Calibri" w:cstheme="minorHAnsi"/>
                <w:b/>
                <w:lang w:val="el-GR" w:eastAsia="en-GB"/>
              </w:rPr>
            </w:pPr>
            <w:r w:rsidRPr="00CE0232">
              <w:rPr>
                <w:rFonts w:eastAsia="Calibri" w:cstheme="minorHAnsi"/>
                <w:b/>
                <w:lang w:val="el-GR" w:eastAsia="en-GB"/>
              </w:rPr>
              <w:t>-1,14</w:t>
            </w:r>
          </w:p>
          <w:p w:rsidR="001024A4" w:rsidRPr="00CE0232" w:rsidRDefault="001024A4" w:rsidP="004A24E4">
            <w:pPr>
              <w:spacing w:after="59"/>
              <w:jc w:val="both"/>
              <w:rPr>
                <w:rFonts w:eastAsia="Calibri" w:cstheme="minorHAnsi"/>
                <w:b/>
                <w:lang w:val="el-GR" w:eastAsia="en-GB"/>
              </w:rPr>
            </w:pPr>
          </w:p>
        </w:tc>
        <w:tc>
          <w:tcPr>
            <w:tcW w:w="2126" w:type="dxa"/>
          </w:tcPr>
          <w:p w:rsidR="00C03045" w:rsidRPr="00CE0232" w:rsidRDefault="00C03045" w:rsidP="004A24E4">
            <w:pPr>
              <w:spacing w:after="59"/>
              <w:jc w:val="both"/>
              <w:rPr>
                <w:rFonts w:eastAsia="Calibri" w:cstheme="minorHAnsi"/>
                <w:b/>
                <w:lang w:val="el-GR" w:eastAsia="en-GB"/>
              </w:rPr>
            </w:pPr>
          </w:p>
        </w:tc>
      </w:tr>
    </w:tbl>
    <w:p w:rsidR="00FD26A6" w:rsidRPr="00CE0232" w:rsidRDefault="00FD26A6" w:rsidP="004A24E4">
      <w:pPr>
        <w:spacing w:after="59" w:line="240" w:lineRule="auto"/>
        <w:jc w:val="both"/>
        <w:rPr>
          <w:rFonts w:eastAsia="Calibri" w:cstheme="minorHAnsi"/>
          <w:b/>
          <w:lang w:val="el-GR" w:eastAsia="en-GB"/>
        </w:rPr>
      </w:pPr>
    </w:p>
    <w:p w:rsidR="009D430F" w:rsidRPr="00CE0232" w:rsidRDefault="00616643" w:rsidP="00603E00">
      <w:pPr>
        <w:spacing w:after="59" w:line="240" w:lineRule="auto"/>
        <w:jc w:val="both"/>
        <w:rPr>
          <w:rFonts w:cstheme="minorHAnsi"/>
          <w:lang w:val="el-GR"/>
        </w:rPr>
      </w:pPr>
      <w:r w:rsidRPr="00CE0232">
        <w:rPr>
          <w:rFonts w:cstheme="minorHAnsi"/>
          <w:lang w:val="el-GR"/>
        </w:rPr>
        <w:t>Οι ποσότητες των σύμμεικτων ΑΣΑ και των «πράσινων», οδηγούνται απευθείας στο ΧΥΤΑ  Άνω Λιοσίων. Οι ποσότητες του περιεχομένου των μπλε κάδων, οδηγούνται στα ΚΔΑΥ.</w:t>
      </w:r>
    </w:p>
    <w:p w:rsidR="00603E00" w:rsidRPr="00CE0232" w:rsidRDefault="007B60AF" w:rsidP="00603E00">
      <w:pPr>
        <w:spacing w:after="59" w:line="240" w:lineRule="auto"/>
        <w:jc w:val="both"/>
        <w:rPr>
          <w:rFonts w:eastAsia="Calibri" w:cstheme="minorHAnsi"/>
          <w:lang w:val="el-GR" w:eastAsia="en-GB"/>
        </w:rPr>
      </w:pPr>
      <w:r w:rsidRPr="00CE0232">
        <w:rPr>
          <w:rFonts w:eastAsia="Calibri" w:cstheme="minorHAnsi"/>
          <w:lang w:val="el-GR" w:eastAsia="en-GB"/>
        </w:rPr>
        <w:t>Οι στόχοι</w:t>
      </w:r>
      <w:r w:rsidR="00603E00" w:rsidRPr="00CE0232">
        <w:rPr>
          <w:rFonts w:eastAsia="Calibri" w:cstheme="minorHAnsi"/>
          <w:lang w:val="el-GR" w:eastAsia="en-GB"/>
        </w:rPr>
        <w:t xml:space="preserve"> ανακύκλωσης </w:t>
      </w:r>
      <w:r w:rsidRPr="00CE0232">
        <w:rPr>
          <w:rFonts w:eastAsia="Calibri" w:cstheme="minorHAnsi"/>
          <w:lang w:val="el-GR" w:eastAsia="en-GB"/>
        </w:rPr>
        <w:t xml:space="preserve">που </w:t>
      </w:r>
      <w:r w:rsidR="00603E00" w:rsidRPr="00CE0232">
        <w:rPr>
          <w:rFonts w:eastAsia="Calibri" w:cstheme="minorHAnsi"/>
          <w:lang w:val="el-GR" w:eastAsia="en-GB"/>
        </w:rPr>
        <w:t xml:space="preserve">θα πρέπει έως το 2020 να επιτύχει </w:t>
      </w:r>
      <w:r w:rsidR="00337094" w:rsidRPr="00CE0232">
        <w:rPr>
          <w:rFonts w:eastAsia="Calibri" w:cstheme="minorHAnsi"/>
          <w:lang w:val="el-GR" w:eastAsia="en-GB"/>
        </w:rPr>
        <w:t xml:space="preserve">ο Δήμος Αμαρουσίου είναι: </w:t>
      </w:r>
      <w:r w:rsidR="00603E00" w:rsidRPr="00CE0232">
        <w:rPr>
          <w:rFonts w:eastAsia="Calibri" w:cstheme="minorHAnsi"/>
          <w:lang w:val="el-GR" w:eastAsia="en-GB"/>
        </w:rPr>
        <w:t xml:space="preserve">η ανακύκλωση και η επαναχρησιμοποίηση των υλικών αποβλήτων (χαρτί, μέταλλο, πλαστικό, γυαλί) από τα νοικοκυριά, να αυξηθεί κατ’ ελάχιστον στο 50% ως προς το συνολικό βάρος (Οδηγία 2008/98/ </w:t>
      </w:r>
      <w:r w:rsidR="00603E00" w:rsidRPr="00CE0232">
        <w:rPr>
          <w:rFonts w:eastAsia="Calibri" w:cstheme="minorHAnsi"/>
          <w:lang w:eastAsia="en-GB"/>
        </w:rPr>
        <w:t>E</w:t>
      </w:r>
      <w:r w:rsidR="00603E00" w:rsidRPr="00CE0232">
        <w:rPr>
          <w:rFonts w:eastAsia="Calibri" w:cstheme="minorHAnsi"/>
          <w:lang w:val="el-GR" w:eastAsia="en-GB"/>
        </w:rPr>
        <w:t>Ε).</w:t>
      </w:r>
    </w:p>
    <w:p w:rsidR="0059236D" w:rsidRPr="00CE0232" w:rsidRDefault="0059236D" w:rsidP="0059236D">
      <w:pPr>
        <w:pStyle w:val="Web"/>
        <w:jc w:val="both"/>
        <w:rPr>
          <w:rFonts w:asciiTheme="minorHAnsi" w:hAnsiTheme="minorHAnsi" w:cstheme="minorHAnsi"/>
          <w:sz w:val="22"/>
          <w:szCs w:val="22"/>
          <w:lang w:val="el-GR"/>
        </w:rPr>
      </w:pPr>
      <w:r w:rsidRPr="00CE0232">
        <w:rPr>
          <w:rFonts w:asciiTheme="minorHAnsi" w:eastAsia="Calibri" w:hAnsiTheme="minorHAnsi" w:cstheme="minorHAnsi"/>
          <w:noProof/>
          <w:sz w:val="22"/>
          <w:szCs w:val="22"/>
          <w:lang w:val="el-GR" w:eastAsia="el-GR"/>
        </w:rPr>
        <w:drawing>
          <wp:inline distT="0" distB="0" distL="0" distR="0">
            <wp:extent cx="5199753" cy="3429000"/>
            <wp:effectExtent l="0" t="0" r="1270" b="0"/>
            <wp:docPr id="1" name="Picture 1" descr="C:\Users\Christine\Desktop\ΠΟΛΙΤΙΚΑ ΣΥΝΔΙΚΑΛΙΣΤΙΚΑ ΚΟΙΝΩΝΙΚΑ\ΦΑΚΕΛΛΟΣ ΣΚΟΥΠΙΔΙΑ\ΑΡΧΕΙΟ ΚΙΤΣΑΚΗ\Αυτοί είναι οι 10 πρώτοι δήμοι της Αττικής σε ποσοστά Ανακύκλωσης - Maroussi News_files\10-dimoi-prodialogh-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esktop\ΠΟΛΙΤΙΚΑ ΣΥΝΔΙΚΑΛΙΣΤΙΚΑ ΚΟΙΝΩΝΙΚΑ\ΦΑΚΕΛΛΟΣ ΣΚΟΥΠΙΔΙΑ\ΑΡΧΕΙΟ ΚΙΤΣΑΚΗ\Αυτοί είναι οι 10 πρώτοι δήμοι της Αττικής σε ποσοστά Ανακύκλωσης - Maroussi News_files\10-dimoi-prodialogh-201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5871" cy="3439629"/>
                    </a:xfrm>
                    <a:prstGeom prst="rect">
                      <a:avLst/>
                    </a:prstGeom>
                    <a:noFill/>
                    <a:ln>
                      <a:noFill/>
                    </a:ln>
                  </pic:spPr>
                </pic:pic>
              </a:graphicData>
            </a:graphic>
          </wp:inline>
        </w:drawing>
      </w:r>
    </w:p>
    <w:p w:rsidR="003023D8" w:rsidRPr="00CE0232" w:rsidRDefault="003023D8" w:rsidP="003023D8">
      <w:pPr>
        <w:spacing w:after="59" w:line="240" w:lineRule="auto"/>
        <w:jc w:val="both"/>
        <w:rPr>
          <w:rFonts w:cstheme="minorHAnsi"/>
          <w:lang w:val="el-GR"/>
        </w:rPr>
      </w:pPr>
      <w:r w:rsidRPr="00CE0232">
        <w:rPr>
          <w:rFonts w:cstheme="minorHAnsi"/>
          <w:lang w:val="el-GR"/>
        </w:rPr>
        <w:lastRenderedPageBreak/>
        <w:t xml:space="preserve">Σε αντιδιαστολή με το Δήμο Αμαρουσίου πολλοί δήμοι της Αττικής είχαν εντυπωσιακά αποτελέσματα όσον αφορά την προδιαλογή (βλέπε σχετικό πίνακα που προηγείται, αναφέρεται ως Πίνακας 5). </w:t>
      </w:r>
    </w:p>
    <w:p w:rsidR="0059236D" w:rsidRPr="00CE0232" w:rsidRDefault="0059236D" w:rsidP="0059236D">
      <w:pPr>
        <w:pStyle w:val="Web"/>
        <w:jc w:val="both"/>
        <w:rPr>
          <w:rFonts w:asciiTheme="minorHAnsi" w:hAnsiTheme="minorHAnsi" w:cstheme="minorHAnsi"/>
          <w:sz w:val="22"/>
          <w:szCs w:val="22"/>
          <w:lang w:val="el-GR"/>
        </w:rPr>
      </w:pPr>
      <w:r w:rsidRPr="00CE0232">
        <w:rPr>
          <w:rFonts w:asciiTheme="minorHAnsi" w:hAnsiTheme="minorHAnsi" w:cstheme="minorHAnsi"/>
          <w:sz w:val="22"/>
          <w:szCs w:val="22"/>
          <w:lang w:val="el-GR"/>
        </w:rPr>
        <w:t>Στο σημείο αυτό θα αναφέρουμε συνοπτικά στοιχεία για τα  «πράσινα σημεία» ώστε να κατανοηθεί η σημασία τους στη διαχείριση των ΑΣΑ:</w:t>
      </w:r>
    </w:p>
    <w:p w:rsidR="0059236D" w:rsidRPr="00CE0232" w:rsidRDefault="0059236D" w:rsidP="0059236D">
      <w:pPr>
        <w:pStyle w:val="Web"/>
        <w:jc w:val="both"/>
        <w:rPr>
          <w:rFonts w:asciiTheme="minorHAnsi" w:eastAsia="Times New Roman" w:hAnsiTheme="minorHAnsi" w:cstheme="minorHAnsi"/>
          <w:i/>
          <w:sz w:val="22"/>
          <w:szCs w:val="22"/>
          <w:lang w:val="el-GR" w:eastAsia="en-GB"/>
        </w:rPr>
      </w:pPr>
      <w:r w:rsidRPr="00CE0232">
        <w:rPr>
          <w:rFonts w:asciiTheme="minorHAnsi" w:hAnsiTheme="minorHAnsi" w:cstheme="minorHAnsi"/>
          <w:i/>
          <w:sz w:val="22"/>
          <w:szCs w:val="22"/>
          <w:lang w:val="el-GR"/>
        </w:rPr>
        <w:t>«</w:t>
      </w:r>
      <w:r w:rsidRPr="00CE0232">
        <w:rPr>
          <w:rFonts w:asciiTheme="minorHAnsi" w:hAnsiTheme="minorHAnsi" w:cstheme="minorHAnsi"/>
          <w:i/>
          <w:sz w:val="22"/>
          <w:szCs w:val="22"/>
          <w:u w:val="single"/>
          <w:lang w:val="el-GR"/>
        </w:rPr>
        <w:t>Πράσινο σημείο»</w:t>
      </w:r>
      <w:r w:rsidRPr="00CE0232">
        <w:rPr>
          <w:rFonts w:asciiTheme="minorHAnsi" w:hAnsiTheme="minorHAnsi" w:cstheme="minorHAnsi"/>
          <w:i/>
          <w:sz w:val="22"/>
          <w:szCs w:val="22"/>
          <w:lang w:val="el-GR"/>
        </w:rPr>
        <w:t xml:space="preserve">  </w:t>
      </w:r>
      <w:r w:rsidRPr="00CE0232">
        <w:rPr>
          <w:rFonts w:asciiTheme="minorHAnsi" w:eastAsia="Times New Roman" w:hAnsiTheme="minorHAnsi" w:cstheme="minorHAnsi"/>
          <w:i/>
          <w:sz w:val="22"/>
          <w:szCs w:val="22"/>
          <w:lang w:val="el-GR" w:eastAsia="en-GB"/>
        </w:rPr>
        <w:t xml:space="preserve">ορίζεται χώρος οργανωμένος από οργανισμό τοπικής αυτοδιοίκησης Α' βαθμού, ο οποίος είναι οριοθετημένος και διαμορφωμένος με την κατάλληλη υποδομή και εξοπλισμό, ώστε οι πολίτες να αποθέτουν χωριστά συλλεγέντα ανακυκλώσιμα αστικά απόβλητα ή χρησιμοποιημένα αντικείμενα, προκειμένου αυτά να προωθηθούν για ανακύκλωση ή για επαναχρησιμοποίηση. Τα Πράσινα Σημεία (ΠΣ) διακρίνονται σε </w:t>
      </w:r>
      <w:r w:rsidRPr="00CE0232">
        <w:rPr>
          <w:rFonts w:asciiTheme="minorHAnsi" w:eastAsia="Times New Roman" w:hAnsiTheme="minorHAnsi" w:cstheme="minorHAnsi"/>
          <w:i/>
          <w:sz w:val="22"/>
          <w:szCs w:val="22"/>
          <w:u w:val="single"/>
          <w:lang w:val="el-GR" w:eastAsia="en-GB"/>
        </w:rPr>
        <w:t xml:space="preserve">μικρά </w:t>
      </w:r>
      <w:r w:rsidRPr="00CE0232">
        <w:rPr>
          <w:rFonts w:asciiTheme="minorHAnsi" w:eastAsia="Times New Roman" w:hAnsiTheme="minorHAnsi" w:cstheme="minorHAnsi"/>
          <w:i/>
          <w:sz w:val="22"/>
          <w:szCs w:val="22"/>
          <w:lang w:val="el-GR" w:eastAsia="en-GB"/>
        </w:rPr>
        <w:t xml:space="preserve">(μέχρι 1000 </w:t>
      </w:r>
      <w:r w:rsidRPr="00CE0232">
        <w:rPr>
          <w:rFonts w:asciiTheme="minorHAnsi" w:eastAsia="Times New Roman" w:hAnsiTheme="minorHAnsi" w:cstheme="minorHAnsi"/>
          <w:i/>
          <w:sz w:val="22"/>
          <w:szCs w:val="22"/>
          <w:lang w:eastAsia="en-GB"/>
        </w:rPr>
        <w:t>m</w:t>
      </w:r>
      <w:r w:rsidRPr="00CE0232">
        <w:rPr>
          <w:rFonts w:asciiTheme="minorHAnsi" w:eastAsia="Times New Roman" w:hAnsiTheme="minorHAnsi" w:cstheme="minorHAnsi"/>
          <w:i/>
          <w:sz w:val="22"/>
          <w:szCs w:val="22"/>
          <w:vertAlign w:val="superscript"/>
          <w:lang w:val="el-GR" w:eastAsia="en-GB"/>
        </w:rPr>
        <w:t>2</w:t>
      </w:r>
      <w:r w:rsidRPr="00CE0232">
        <w:rPr>
          <w:rFonts w:asciiTheme="minorHAnsi" w:eastAsia="Times New Roman" w:hAnsiTheme="minorHAnsi" w:cstheme="minorHAnsi"/>
          <w:i/>
          <w:sz w:val="22"/>
          <w:szCs w:val="22"/>
          <w:lang w:val="el-GR" w:eastAsia="en-GB"/>
        </w:rPr>
        <w:t xml:space="preserve">) και σε </w:t>
      </w:r>
      <w:r w:rsidRPr="00CE0232">
        <w:rPr>
          <w:rFonts w:asciiTheme="minorHAnsi" w:eastAsia="Times New Roman" w:hAnsiTheme="minorHAnsi" w:cstheme="minorHAnsi"/>
          <w:i/>
          <w:sz w:val="22"/>
          <w:szCs w:val="22"/>
          <w:u w:val="single"/>
          <w:lang w:val="el-GR" w:eastAsia="en-GB"/>
        </w:rPr>
        <w:t>μεγάλα</w:t>
      </w:r>
      <w:r w:rsidRPr="00CE0232">
        <w:rPr>
          <w:rFonts w:asciiTheme="minorHAnsi" w:eastAsia="Times New Roman" w:hAnsiTheme="minorHAnsi" w:cstheme="minorHAnsi"/>
          <w:i/>
          <w:sz w:val="22"/>
          <w:szCs w:val="22"/>
          <w:lang w:val="el-GR" w:eastAsia="en-GB"/>
        </w:rPr>
        <w:t xml:space="preserve"> (πάνω από 500 </w:t>
      </w:r>
      <w:r w:rsidRPr="00CE0232">
        <w:rPr>
          <w:rFonts w:asciiTheme="minorHAnsi" w:eastAsia="Times New Roman" w:hAnsiTheme="minorHAnsi" w:cstheme="minorHAnsi"/>
          <w:i/>
          <w:sz w:val="22"/>
          <w:szCs w:val="22"/>
          <w:lang w:eastAsia="en-GB"/>
        </w:rPr>
        <w:t>m</w:t>
      </w:r>
      <w:r w:rsidRPr="00CE0232">
        <w:rPr>
          <w:rFonts w:asciiTheme="minorHAnsi" w:eastAsia="Times New Roman" w:hAnsiTheme="minorHAnsi" w:cstheme="minorHAnsi"/>
          <w:i/>
          <w:sz w:val="22"/>
          <w:szCs w:val="22"/>
          <w:vertAlign w:val="superscript"/>
          <w:lang w:val="el-GR" w:eastAsia="en-GB"/>
        </w:rPr>
        <w:t>2</w:t>
      </w:r>
      <w:r w:rsidRPr="00CE0232">
        <w:rPr>
          <w:rFonts w:asciiTheme="minorHAnsi" w:eastAsia="Times New Roman" w:hAnsiTheme="minorHAnsi" w:cstheme="minorHAnsi"/>
          <w:i/>
          <w:sz w:val="22"/>
          <w:szCs w:val="22"/>
          <w:lang w:val="el-GR" w:eastAsia="en-GB"/>
        </w:rPr>
        <w:t>), ανάλογα με τον όγκο και τις κατηγορίες των ανακυκλώσιμων υλικών που δέχονται</w:t>
      </w:r>
      <w:r w:rsidR="009D799E" w:rsidRPr="00CE0232">
        <w:rPr>
          <w:rFonts w:asciiTheme="minorHAnsi" w:eastAsia="Times New Roman" w:hAnsiTheme="minorHAnsi" w:cstheme="minorHAnsi"/>
          <w:i/>
          <w:sz w:val="22"/>
          <w:szCs w:val="22"/>
          <w:lang w:val="el-GR" w:eastAsia="en-GB"/>
        </w:rPr>
        <w:t>.</w:t>
      </w:r>
      <w:r w:rsidRPr="00CE0232">
        <w:rPr>
          <w:rFonts w:asciiTheme="minorHAnsi" w:eastAsia="Times New Roman" w:hAnsiTheme="minorHAnsi" w:cstheme="minorHAnsi"/>
          <w:i/>
          <w:sz w:val="22"/>
          <w:szCs w:val="22"/>
          <w:lang w:val="el-GR" w:eastAsia="en-GB"/>
        </w:rPr>
        <w:t xml:space="preserve">  Στα Πράσινα Σημεία δύνανται να πραγματοποιούνται δράσεις εκπαίδευσης και ευαισθητοποίησης του κοινού (</w:t>
      </w:r>
      <w:hyperlink r:id="rId10" w:tgtFrame="hmcontent" w:history="1">
        <w:r w:rsidRPr="00CE0232">
          <w:rPr>
            <w:rFonts w:asciiTheme="minorHAnsi" w:eastAsia="Times New Roman" w:hAnsiTheme="minorHAnsi" w:cstheme="minorHAnsi"/>
            <w:i/>
            <w:sz w:val="22"/>
            <w:szCs w:val="22"/>
            <w:u w:val="single"/>
            <w:lang w:val="el-GR" w:eastAsia="en-GB"/>
          </w:rPr>
          <w:t>ν. 4042/2012</w:t>
        </w:r>
      </w:hyperlink>
      <w:r w:rsidRPr="00CE0232">
        <w:rPr>
          <w:rFonts w:asciiTheme="minorHAnsi" w:eastAsia="Times New Roman" w:hAnsiTheme="minorHAnsi" w:cstheme="minorHAnsi"/>
          <w:i/>
          <w:sz w:val="22"/>
          <w:szCs w:val="22"/>
          <w:lang w:val="el-GR" w:eastAsia="en-GB"/>
        </w:rPr>
        <w:t xml:space="preserve"> </w:t>
      </w:r>
      <w:hyperlink r:id="rId11" w:tgtFrame="hmcontent" w:history="1">
        <w:r w:rsidRPr="00CE0232">
          <w:rPr>
            <w:rFonts w:asciiTheme="minorHAnsi" w:eastAsia="Times New Roman" w:hAnsiTheme="minorHAnsi" w:cstheme="minorHAnsi"/>
            <w:i/>
            <w:sz w:val="22"/>
            <w:szCs w:val="22"/>
            <w:u w:val="single"/>
            <w:lang w:val="el-GR" w:eastAsia="en-GB"/>
          </w:rPr>
          <w:t>άρ. 11</w:t>
        </w:r>
      </w:hyperlink>
      <w:r w:rsidRPr="00CE0232">
        <w:rPr>
          <w:rFonts w:asciiTheme="minorHAnsi" w:eastAsia="Times New Roman" w:hAnsiTheme="minorHAnsi" w:cstheme="minorHAnsi"/>
          <w:i/>
          <w:sz w:val="22"/>
          <w:szCs w:val="22"/>
          <w:lang w:val="el-GR" w:eastAsia="en-GB"/>
        </w:rPr>
        <w:t xml:space="preserve">). </w:t>
      </w:r>
    </w:p>
    <w:p w:rsidR="0059236D" w:rsidRPr="00CE0232" w:rsidRDefault="0059236D" w:rsidP="0059236D">
      <w:pPr>
        <w:pStyle w:val="Web"/>
        <w:jc w:val="both"/>
        <w:rPr>
          <w:rFonts w:asciiTheme="minorHAnsi" w:eastAsia="Calibri" w:hAnsiTheme="minorHAnsi" w:cstheme="minorHAnsi"/>
          <w:sz w:val="22"/>
          <w:szCs w:val="22"/>
          <w:u w:val="single"/>
          <w:lang w:val="el-GR" w:eastAsia="en-GB"/>
        </w:rPr>
      </w:pPr>
      <w:r w:rsidRPr="00CE0232">
        <w:rPr>
          <w:rFonts w:asciiTheme="minorHAnsi" w:eastAsia="Times New Roman" w:hAnsiTheme="minorHAnsi" w:cstheme="minorHAnsi"/>
          <w:sz w:val="22"/>
          <w:szCs w:val="22"/>
          <w:lang w:val="el-GR" w:eastAsia="en-GB"/>
        </w:rPr>
        <w:t xml:space="preserve">Στο </w:t>
      </w:r>
      <w:r w:rsidR="00591E8E" w:rsidRPr="00CE0232">
        <w:rPr>
          <w:rFonts w:asciiTheme="minorHAnsi" w:eastAsia="Calibri" w:hAnsiTheme="minorHAnsi" w:cstheme="minorHAnsi"/>
          <w:sz w:val="22"/>
          <w:szCs w:val="22"/>
          <w:lang w:val="el-GR" w:eastAsia="en-GB"/>
        </w:rPr>
        <w:t>Τοπικό Σχέδιο</w:t>
      </w:r>
      <w:r w:rsidRPr="00CE0232">
        <w:rPr>
          <w:rFonts w:asciiTheme="minorHAnsi" w:eastAsia="Calibri" w:hAnsiTheme="minorHAnsi" w:cstheme="minorHAnsi"/>
          <w:sz w:val="22"/>
          <w:szCs w:val="22"/>
          <w:lang w:val="el-GR" w:eastAsia="en-GB"/>
        </w:rPr>
        <w:t xml:space="preserve"> </w:t>
      </w:r>
      <w:r w:rsidR="00591E8E" w:rsidRPr="00CE0232">
        <w:rPr>
          <w:rFonts w:asciiTheme="minorHAnsi" w:eastAsia="Calibri" w:hAnsiTheme="minorHAnsi" w:cstheme="minorHAnsi"/>
          <w:sz w:val="22"/>
          <w:szCs w:val="22"/>
          <w:lang w:val="el-GR" w:eastAsia="en-GB"/>
        </w:rPr>
        <w:t xml:space="preserve">Παραδοτέο 3.2 </w:t>
      </w:r>
      <w:r w:rsidRPr="00CE0232">
        <w:rPr>
          <w:rFonts w:asciiTheme="minorHAnsi" w:eastAsia="Calibri" w:hAnsiTheme="minorHAnsi" w:cstheme="minorHAnsi"/>
          <w:sz w:val="22"/>
          <w:szCs w:val="22"/>
          <w:lang w:val="el-GR" w:eastAsia="en-GB"/>
        </w:rPr>
        <w:t>(σελ. 80-90) προτείνονταν 7 θέσεις για τη δημιουργία πράσινων σημείων στο Δήμο Αμαρουσίου (Ο.Α.Κ.Α, Παλαιό Αμαξοστάσιο, Αμαλίειο, Ρέμα Σαπφούς, Ψαλίδι (</w:t>
      </w:r>
      <w:r w:rsidRPr="00CE0232">
        <w:rPr>
          <w:rFonts w:asciiTheme="minorHAnsi" w:eastAsia="Calibri" w:hAnsiTheme="minorHAnsi" w:cstheme="minorHAnsi"/>
          <w:sz w:val="22"/>
          <w:szCs w:val="22"/>
          <w:lang w:eastAsia="en-GB"/>
        </w:rPr>
        <w:t>XEY</w:t>
      </w:r>
      <w:r w:rsidRPr="00CE0232">
        <w:rPr>
          <w:rFonts w:asciiTheme="minorHAnsi" w:eastAsia="Calibri" w:hAnsiTheme="minorHAnsi" w:cstheme="minorHAnsi"/>
          <w:sz w:val="22"/>
          <w:szCs w:val="22"/>
          <w:lang w:val="el-GR" w:eastAsia="en-GB"/>
        </w:rPr>
        <w:t xml:space="preserve">),  Εργατικές Κατοικίες,  Αμαξοστάσιο στην οδό Μεσογείων) και τέθηκαν σε διαβούλευση το Φεβρουάριο του 2017. </w:t>
      </w:r>
      <w:r w:rsidRPr="00CE0232">
        <w:rPr>
          <w:rFonts w:asciiTheme="minorHAnsi" w:hAnsiTheme="minorHAnsi" w:cstheme="minorHAnsi"/>
          <w:b/>
          <w:sz w:val="22"/>
          <w:szCs w:val="22"/>
          <w:u w:val="single"/>
          <w:lang w:val="el-GR"/>
        </w:rPr>
        <w:t xml:space="preserve">Ωστόσο,  </w:t>
      </w:r>
      <w:r w:rsidRPr="00CE0232">
        <w:rPr>
          <w:rFonts w:asciiTheme="minorHAnsi" w:eastAsia="Calibri" w:hAnsiTheme="minorHAnsi" w:cstheme="minorHAnsi"/>
          <w:b/>
          <w:sz w:val="22"/>
          <w:szCs w:val="22"/>
          <w:u w:val="single"/>
          <w:lang w:val="el-GR" w:eastAsia="en-GB"/>
        </w:rPr>
        <w:t>αυτά που προέκυψαν από τη διαβούλευση του 2017  δεν έχουν υλοποιηθεί ούτε κατ’ ελάχιστο.</w:t>
      </w:r>
    </w:p>
    <w:p w:rsidR="00616643" w:rsidRPr="00CE0232" w:rsidRDefault="00591E8E" w:rsidP="00170981">
      <w:pPr>
        <w:tabs>
          <w:tab w:val="center" w:pos="1931"/>
        </w:tabs>
        <w:spacing w:after="333"/>
        <w:ind w:left="-13"/>
        <w:rPr>
          <w:rFonts w:cstheme="minorHAnsi"/>
          <w:sz w:val="28"/>
          <w:szCs w:val="28"/>
          <w:lang w:val="el-GR"/>
        </w:rPr>
      </w:pPr>
      <w:r w:rsidRPr="00CE0232">
        <w:rPr>
          <w:rFonts w:cstheme="minorHAnsi"/>
          <w:b/>
          <w:sz w:val="28"/>
          <w:szCs w:val="28"/>
          <w:lang w:val="el-GR"/>
        </w:rPr>
        <w:t xml:space="preserve">ΙΙΙ. </w:t>
      </w:r>
      <w:r w:rsidR="00616643" w:rsidRPr="00CE0232">
        <w:rPr>
          <w:rFonts w:cstheme="minorHAnsi"/>
          <w:b/>
          <w:sz w:val="28"/>
          <w:szCs w:val="28"/>
          <w:lang w:val="el-GR"/>
        </w:rPr>
        <w:t xml:space="preserve">ΘΕΣΕΙΣ ΤΗΣ </w:t>
      </w:r>
      <w:r w:rsidR="009D430F" w:rsidRPr="00CE0232">
        <w:rPr>
          <w:rFonts w:cstheme="minorHAnsi"/>
          <w:b/>
          <w:sz w:val="28"/>
          <w:szCs w:val="28"/>
          <w:lang w:val="el-GR"/>
        </w:rPr>
        <w:t xml:space="preserve">ΠΑΡΑΤΑΞΗΣ ΕΝΟΤΗΤΑ ΑΝΑΤΡΟΠΗ ΚΑΙ ΕΡΓΟ ΓΙΑ ΤΟ ΜΑΡΟΥΣΙ </w:t>
      </w:r>
      <w:r w:rsidR="00616643" w:rsidRPr="00CE0232">
        <w:rPr>
          <w:rFonts w:cstheme="minorHAnsi"/>
          <w:b/>
          <w:sz w:val="28"/>
          <w:szCs w:val="28"/>
          <w:lang w:val="el-GR"/>
        </w:rPr>
        <w:t>ΓΙΑ ΤΗ ΔΙΑΧΕΙΡΙΣΗ ΤΩΝ ΑΠΟΡΡΙΜΜΑΤΩΝ ΣΤΟ ΜΑΡΟΥΣΙ</w:t>
      </w:r>
    </w:p>
    <w:p w:rsidR="00EA2223" w:rsidRPr="00CE0232" w:rsidRDefault="00616643" w:rsidP="00EA2223">
      <w:pPr>
        <w:pStyle w:val="a3"/>
        <w:numPr>
          <w:ilvl w:val="0"/>
          <w:numId w:val="1"/>
        </w:numPr>
        <w:spacing w:after="5" w:line="240" w:lineRule="auto"/>
        <w:ind w:left="426" w:right="11" w:hanging="426"/>
        <w:jc w:val="both"/>
        <w:rPr>
          <w:rFonts w:cstheme="minorHAnsi"/>
          <w:lang w:val="el-GR"/>
        </w:rPr>
      </w:pPr>
      <w:r w:rsidRPr="00CE0232">
        <w:rPr>
          <w:rFonts w:cstheme="minorHAnsi"/>
          <w:lang w:val="el-GR"/>
        </w:rPr>
        <w:t xml:space="preserve">Η Διαχείριση των απορριμμάτων αποτελεί </w:t>
      </w:r>
      <w:r w:rsidRPr="00CE0232">
        <w:rPr>
          <w:rFonts w:cstheme="minorHAnsi"/>
          <w:b/>
          <w:u w:val="single"/>
          <w:lang w:val="el-GR"/>
        </w:rPr>
        <w:t>πρώτιστη προτεραιότητα της Δημοτικής Αρχής</w:t>
      </w:r>
      <w:r w:rsidRPr="00CE0232">
        <w:rPr>
          <w:rFonts w:cstheme="minorHAnsi"/>
          <w:lang w:val="el-GR"/>
        </w:rPr>
        <w:t xml:space="preserve"> (για λόγους βελτίωσης της καθημερινότητας και της ποιότητας ζωής των πολιτών</w:t>
      </w:r>
      <w:r w:rsidR="0099310D" w:rsidRPr="00CE0232">
        <w:rPr>
          <w:rFonts w:cstheme="minorHAnsi"/>
          <w:lang w:val="el-GR"/>
        </w:rPr>
        <w:t>,</w:t>
      </w:r>
      <w:r w:rsidR="005005BF" w:rsidRPr="00CE0232">
        <w:rPr>
          <w:rFonts w:cstheme="minorHAnsi"/>
          <w:lang w:val="el-GR"/>
        </w:rPr>
        <w:t xml:space="preserve"> της δημόσιας υγείας</w:t>
      </w:r>
      <w:r w:rsidR="0099310D" w:rsidRPr="00CE0232">
        <w:rPr>
          <w:rFonts w:cstheme="minorHAnsi"/>
          <w:lang w:val="el-GR"/>
        </w:rPr>
        <w:t>, της</w:t>
      </w:r>
      <w:r w:rsidR="008917BC" w:rsidRPr="00CE0232">
        <w:rPr>
          <w:rFonts w:cstheme="minorHAnsi"/>
          <w:lang w:val="el-GR"/>
        </w:rPr>
        <w:t xml:space="preserve"> προστασίας του περιβάλλοντος</w:t>
      </w:r>
      <w:r w:rsidRPr="00CE0232">
        <w:rPr>
          <w:rFonts w:cstheme="minorHAnsi"/>
          <w:lang w:val="el-GR"/>
        </w:rPr>
        <w:t>).</w:t>
      </w:r>
    </w:p>
    <w:p w:rsidR="00EA2223" w:rsidRPr="00CE0232" w:rsidRDefault="00616643" w:rsidP="00EA2223">
      <w:pPr>
        <w:pStyle w:val="a3"/>
        <w:numPr>
          <w:ilvl w:val="0"/>
          <w:numId w:val="1"/>
        </w:numPr>
        <w:spacing w:after="5" w:line="240" w:lineRule="auto"/>
        <w:ind w:left="426" w:right="11" w:hanging="426"/>
        <w:jc w:val="both"/>
        <w:rPr>
          <w:rFonts w:cstheme="minorHAnsi"/>
          <w:lang w:val="el-GR"/>
        </w:rPr>
      </w:pPr>
      <w:r w:rsidRPr="00CE0232">
        <w:rPr>
          <w:rFonts w:cstheme="minorHAnsi"/>
          <w:lang w:val="el-GR"/>
        </w:rPr>
        <w:t xml:space="preserve">Κατοχύρωση καθαρά </w:t>
      </w:r>
      <w:r w:rsidRPr="00CE0232">
        <w:rPr>
          <w:rFonts w:cstheme="minorHAnsi"/>
          <w:b/>
          <w:u w:val="single"/>
          <w:lang w:val="el-GR"/>
        </w:rPr>
        <w:t>δημόσιου χαρακτήρα της διαχείρισης των απορριμμάτων</w:t>
      </w:r>
      <w:r w:rsidRPr="00CE0232">
        <w:rPr>
          <w:rFonts w:cstheme="minorHAnsi"/>
          <w:lang w:val="el-GR"/>
        </w:rPr>
        <w:t xml:space="preserve"> με ενίσχυ</w:t>
      </w:r>
      <w:r w:rsidR="00CD3FAF" w:rsidRPr="00CE0232">
        <w:rPr>
          <w:rFonts w:cstheme="minorHAnsi"/>
          <w:lang w:val="el-GR"/>
        </w:rPr>
        <w:t xml:space="preserve">ση του ανθρώπινου δυναμικού της, </w:t>
      </w:r>
      <w:r w:rsidRPr="00CE0232">
        <w:rPr>
          <w:rFonts w:cstheme="minorHAnsi"/>
          <w:lang w:val="el-GR"/>
        </w:rPr>
        <w:t xml:space="preserve"> των υποδομών</w:t>
      </w:r>
      <w:r w:rsidR="00CD3FAF" w:rsidRPr="00CE0232">
        <w:rPr>
          <w:rFonts w:cstheme="minorHAnsi"/>
          <w:lang w:val="el-GR"/>
        </w:rPr>
        <w:t xml:space="preserve"> και του απαραίτητου εξοπλισμού</w:t>
      </w:r>
      <w:r w:rsidRPr="00CE0232">
        <w:rPr>
          <w:rFonts w:cstheme="minorHAnsi"/>
          <w:lang w:val="el-GR"/>
        </w:rPr>
        <w:t>. Αποκόμιση κέρδους ιδιωτών δεν συνάδει με τα οφέλη που δικαιούνται να έχουν οι δημότες από τη διαχείριση των απορριμμάτων</w:t>
      </w:r>
      <w:r w:rsidR="0099310D" w:rsidRPr="00CE0232">
        <w:rPr>
          <w:rFonts w:cstheme="minorHAnsi"/>
          <w:lang w:val="el-GR"/>
        </w:rPr>
        <w:t>.</w:t>
      </w:r>
      <w:r w:rsidRPr="00CE0232">
        <w:rPr>
          <w:rFonts w:cstheme="minorHAnsi"/>
          <w:lang w:val="el-GR"/>
        </w:rPr>
        <w:t xml:space="preserve"> </w:t>
      </w:r>
    </w:p>
    <w:p w:rsidR="00616643" w:rsidRPr="00CE0232" w:rsidRDefault="00616643" w:rsidP="00EA2223">
      <w:pPr>
        <w:pStyle w:val="a3"/>
        <w:numPr>
          <w:ilvl w:val="0"/>
          <w:numId w:val="1"/>
        </w:numPr>
        <w:spacing w:after="5" w:line="240" w:lineRule="auto"/>
        <w:ind w:left="426" w:right="11" w:hanging="426"/>
        <w:jc w:val="both"/>
        <w:rPr>
          <w:rFonts w:cstheme="minorHAnsi"/>
          <w:lang w:val="el-GR"/>
        </w:rPr>
      </w:pPr>
      <w:r w:rsidRPr="00CE0232">
        <w:rPr>
          <w:rFonts w:cstheme="minorHAnsi"/>
          <w:b/>
          <w:u w:val="single"/>
          <w:lang w:val="el-GR"/>
        </w:rPr>
        <w:t>Προτεραιότητα διαλογής στην πηγή</w:t>
      </w:r>
      <w:r w:rsidRPr="00CE0232">
        <w:rPr>
          <w:rFonts w:cstheme="minorHAnsi"/>
          <w:lang w:val="el-GR"/>
        </w:rPr>
        <w:t xml:space="preserve"> με συγκεκριμενοποίηση του στόχου ουσιαστικής μείωσης  του ποσοστού  απορριμμάτων που οδηγείται σε ΧΥΤΥ.</w:t>
      </w:r>
      <w:r w:rsidR="00D729C1" w:rsidRPr="00CE0232">
        <w:rPr>
          <w:rFonts w:eastAsia="Calibri" w:cstheme="minorHAnsi"/>
          <w:lang w:val="el-GR" w:eastAsia="en-GB"/>
        </w:rPr>
        <w:t xml:space="preserve"> Η Ε.Ε. (Οδηγία 2008/98/</w:t>
      </w:r>
      <w:r w:rsidR="00D729C1" w:rsidRPr="00CE0232">
        <w:rPr>
          <w:rFonts w:eastAsia="Calibri" w:cstheme="minorHAnsi"/>
          <w:lang w:eastAsia="en-GB"/>
        </w:rPr>
        <w:t>EK</w:t>
      </w:r>
      <w:r w:rsidR="00D729C1" w:rsidRPr="00CE0232">
        <w:rPr>
          <w:rFonts w:eastAsia="Calibri" w:cstheme="minorHAnsi"/>
          <w:lang w:val="el-GR" w:eastAsia="en-GB"/>
        </w:rPr>
        <w:t xml:space="preserve">) ορίζει  έως το 2020 </w:t>
      </w:r>
      <w:r w:rsidR="00D729C1" w:rsidRPr="00CE0232">
        <w:rPr>
          <w:rFonts w:eastAsia="Calibri" w:cstheme="minorHAnsi"/>
          <w:u w:val="single"/>
          <w:lang w:val="el-GR" w:eastAsia="en-GB"/>
        </w:rPr>
        <w:t>η επαναχρησιμοποίηση και ανακύκλωση των υλικών αποβλήτων (χαρτί, μέταλλο, πλαστικό, γυαλί) που προέρχονται από τα νοικοκυριά, να αυξηθεί κατ’ ελάχιστον στο 50%</w:t>
      </w:r>
      <w:r w:rsidR="00D729C1" w:rsidRPr="00CE0232">
        <w:rPr>
          <w:rFonts w:eastAsia="Calibri" w:cstheme="minorHAnsi"/>
          <w:lang w:val="el-GR" w:eastAsia="en-GB"/>
        </w:rPr>
        <w:t xml:space="preserve"> ως προς το συνολικό βάρος. </w:t>
      </w:r>
    </w:p>
    <w:p w:rsidR="00825731" w:rsidRPr="00CE0232" w:rsidRDefault="00616643" w:rsidP="00EA2223">
      <w:pPr>
        <w:pStyle w:val="a3"/>
        <w:numPr>
          <w:ilvl w:val="0"/>
          <w:numId w:val="1"/>
        </w:numPr>
        <w:spacing w:line="240" w:lineRule="auto"/>
        <w:ind w:left="425" w:hanging="425"/>
        <w:jc w:val="both"/>
        <w:rPr>
          <w:rFonts w:cstheme="minorHAnsi"/>
          <w:lang w:val="el-GR"/>
        </w:rPr>
      </w:pPr>
      <w:r w:rsidRPr="00CE0232">
        <w:rPr>
          <w:rFonts w:cstheme="minorHAnsi"/>
          <w:b/>
          <w:u w:val="single"/>
          <w:lang w:val="el-GR"/>
        </w:rPr>
        <w:t>Η ενεργός συμμετοχή των δημοτών</w:t>
      </w:r>
      <w:r w:rsidRPr="00CE0232">
        <w:rPr>
          <w:rFonts w:cstheme="minorHAnsi"/>
          <w:lang w:val="el-GR"/>
        </w:rPr>
        <w:t xml:space="preserve"> είναι καθοριστικός παράγοντας στην υλοποίηση του σχεδίου διαχείρισης των απορριμμάτων. Στην κατεύθυνση αυτή η ενημέρωση των δημοτών για τα πλεονεκτήματα και τα ανταποδοτικά οφέλη που μπορούν να προκύψουν από τη σωστή διαχείριση των απορριμμάτων είναι αναγκαία προϋπόθεση. </w:t>
      </w:r>
      <w:r w:rsidRPr="00CE0232">
        <w:rPr>
          <w:rFonts w:cstheme="minorHAnsi"/>
          <w:b/>
          <w:u w:val="single"/>
          <w:lang w:val="el-GR"/>
        </w:rPr>
        <w:t>Τα σχολεία,</w:t>
      </w:r>
      <w:r w:rsidRPr="00CE0232">
        <w:rPr>
          <w:rFonts w:cstheme="minorHAnsi"/>
          <w:lang w:val="el-GR"/>
        </w:rPr>
        <w:t xml:space="preserve"> ειδικότερα, αποτελούν για το σκοπό αυτό το καταλληλότερο κύτταρο προώθησης της αντίληψης καθημερινού  τρόπου ζωής του χειρισμού των απορριμμάτων. Επιπλέον αναγκαία είναι η άμεση ενημέρωση των δημοτών με </w:t>
      </w:r>
      <w:r w:rsidRPr="00CE0232">
        <w:rPr>
          <w:rFonts w:cstheme="minorHAnsi"/>
          <w:b/>
          <w:u w:val="single"/>
          <w:lang w:val="el-GR"/>
        </w:rPr>
        <w:t>συνελεύσεις ενημέρωσης σε κάθε γειτονιά</w:t>
      </w:r>
      <w:r w:rsidRPr="00CE0232">
        <w:rPr>
          <w:rFonts w:cstheme="minorHAnsi"/>
          <w:lang w:val="el-GR"/>
        </w:rPr>
        <w:t xml:space="preserve"> και όχι μόνο σε κεντρικές εκδηλώσεις στο Δημαρχείο.</w:t>
      </w:r>
    </w:p>
    <w:p w:rsidR="00D631B1" w:rsidRPr="00CE0232" w:rsidRDefault="00825731" w:rsidP="00AF6EB2">
      <w:pPr>
        <w:pStyle w:val="a3"/>
        <w:numPr>
          <w:ilvl w:val="0"/>
          <w:numId w:val="1"/>
        </w:numPr>
        <w:spacing w:line="240" w:lineRule="auto"/>
        <w:ind w:left="426" w:hanging="426"/>
        <w:jc w:val="both"/>
        <w:rPr>
          <w:rFonts w:cstheme="minorHAnsi"/>
          <w:lang w:val="el-GR"/>
        </w:rPr>
      </w:pPr>
      <w:r w:rsidRPr="00CE0232">
        <w:rPr>
          <w:rFonts w:cstheme="minorHAnsi"/>
          <w:lang w:val="el-GR"/>
        </w:rPr>
        <w:t xml:space="preserve"> </w:t>
      </w:r>
      <w:r w:rsidR="005D052A" w:rsidRPr="00CE0232">
        <w:rPr>
          <w:rFonts w:cstheme="minorHAnsi"/>
          <w:b/>
          <w:u w:val="single"/>
          <w:lang w:val="el-GR"/>
        </w:rPr>
        <w:t xml:space="preserve">Στο </w:t>
      </w:r>
      <w:r w:rsidRPr="00CE0232">
        <w:rPr>
          <w:rFonts w:cstheme="minorHAnsi"/>
          <w:b/>
          <w:u w:val="single"/>
          <w:lang w:val="el-GR"/>
        </w:rPr>
        <w:t>ΧΥΤΑ Φυλής</w:t>
      </w:r>
      <w:r w:rsidRPr="00CE0232">
        <w:rPr>
          <w:rFonts w:cstheme="minorHAnsi"/>
          <w:lang w:val="el-GR"/>
        </w:rPr>
        <w:t xml:space="preserve"> </w:t>
      </w:r>
      <w:r w:rsidR="005D052A" w:rsidRPr="00CE0232">
        <w:rPr>
          <w:rFonts w:cstheme="minorHAnsi"/>
          <w:lang w:val="el-GR"/>
        </w:rPr>
        <w:t>ε</w:t>
      </w:r>
      <w:r w:rsidRPr="00CE0232">
        <w:rPr>
          <w:rFonts w:cstheme="minorHAnsi"/>
          <w:lang w:val="el-GR"/>
        </w:rPr>
        <w:t>ίναι βεβαιωμ</w:t>
      </w:r>
      <w:r w:rsidR="001C59F7" w:rsidRPr="00CE0232">
        <w:rPr>
          <w:rFonts w:cstheme="minorHAnsi"/>
          <w:lang w:val="el-GR"/>
        </w:rPr>
        <w:t xml:space="preserve">ένη </w:t>
      </w:r>
      <w:r w:rsidR="001C59F7" w:rsidRPr="00CE0232">
        <w:rPr>
          <w:rFonts w:eastAsia="Times New Roman" w:cstheme="minorHAnsi"/>
          <w:lang w:val="el-GR" w:eastAsia="en-GB"/>
        </w:rPr>
        <w:t>η παρουσία ρύπων, βαρέων μετάλλων, ακόμη και ραδιενεργών στοιχείων και μάλιστα όλα σε τιμές που υπερβαίνουν τα θεσμοθετημένα επιτρεπτά όρια</w:t>
      </w:r>
      <w:r w:rsidR="001C59F7" w:rsidRPr="00CE0232">
        <w:rPr>
          <w:rFonts w:cstheme="minorHAnsi"/>
          <w:lang w:val="el-GR"/>
        </w:rPr>
        <w:t xml:space="preserve"> </w:t>
      </w:r>
      <w:r w:rsidRPr="00CE0232">
        <w:rPr>
          <w:rFonts w:cstheme="minorHAnsi"/>
          <w:lang w:val="el-GR"/>
        </w:rPr>
        <w:t>(</w:t>
      </w:r>
      <w:r w:rsidRPr="00CE0232">
        <w:rPr>
          <w:rFonts w:eastAsia="Times New Roman" w:cstheme="minorHAnsi"/>
          <w:lang w:val="el-GR" w:eastAsia="en-GB"/>
        </w:rPr>
        <w:t>μελέτη της «</w:t>
      </w:r>
      <w:r w:rsidRPr="00CE0232">
        <w:rPr>
          <w:rFonts w:eastAsia="Times New Roman" w:cstheme="minorHAnsi"/>
          <w:lang w:eastAsia="en-GB"/>
        </w:rPr>
        <w:t>Asprofos</w:t>
      </w:r>
      <w:r w:rsidRPr="00CE0232">
        <w:rPr>
          <w:rFonts w:eastAsia="Times New Roman" w:cstheme="minorHAnsi"/>
          <w:lang w:val="el-GR" w:eastAsia="en-GB"/>
        </w:rPr>
        <w:t xml:space="preserve"> </w:t>
      </w:r>
      <w:r w:rsidRPr="00CE0232">
        <w:rPr>
          <w:rFonts w:eastAsia="Times New Roman" w:cstheme="minorHAnsi"/>
          <w:lang w:eastAsia="en-GB"/>
        </w:rPr>
        <w:t>Engineering</w:t>
      </w:r>
      <w:r w:rsidRPr="00CE0232">
        <w:rPr>
          <w:rFonts w:eastAsia="Times New Roman" w:cstheme="minorHAnsi"/>
          <w:lang w:val="el-GR" w:eastAsia="en-GB"/>
        </w:rPr>
        <w:t>»</w:t>
      </w:r>
      <w:r w:rsidR="005D052A" w:rsidRPr="00CE0232">
        <w:rPr>
          <w:rFonts w:eastAsia="Times New Roman" w:cstheme="minorHAnsi"/>
          <w:lang w:val="el-GR" w:eastAsia="en-GB"/>
        </w:rPr>
        <w:t>, 2015</w:t>
      </w:r>
      <w:r w:rsidRPr="00CE0232">
        <w:rPr>
          <w:rFonts w:eastAsia="Times New Roman" w:cstheme="minorHAnsi"/>
          <w:lang w:val="el-GR" w:eastAsia="en-GB"/>
        </w:rPr>
        <w:t xml:space="preserve">). </w:t>
      </w:r>
      <w:r w:rsidR="00AF6EB2" w:rsidRPr="00CE0232">
        <w:rPr>
          <w:rFonts w:eastAsia="Times New Roman" w:cstheme="minorHAnsi"/>
          <w:lang w:val="el-GR" w:eastAsia="en-GB"/>
        </w:rPr>
        <w:t xml:space="preserve">Επιπλέον, έχουν γίνει καταγγελίες για επικίνδυνη σύσταση των νοσοκομειακών απόβλήτων. </w:t>
      </w:r>
      <w:r w:rsidR="00AF6EB2" w:rsidRPr="00CE0232">
        <w:rPr>
          <w:rFonts w:eastAsia="Times New Roman" w:cstheme="minorHAnsi"/>
          <w:b/>
          <w:u w:val="single"/>
          <w:lang w:val="el-GR" w:eastAsia="en-GB"/>
        </w:rPr>
        <w:t>Ε</w:t>
      </w:r>
      <w:r w:rsidR="00AF6EB2" w:rsidRPr="00CE0232">
        <w:rPr>
          <w:rFonts w:cstheme="minorHAnsi"/>
          <w:b/>
          <w:u w:val="single"/>
          <w:lang w:val="el-GR"/>
        </w:rPr>
        <w:t>πιβάλλεται επομένως να κλείσει άμεσα</w:t>
      </w:r>
      <w:r w:rsidR="000D6CBF" w:rsidRPr="00CE0232">
        <w:rPr>
          <w:rFonts w:cstheme="minorHAnsi"/>
          <w:b/>
          <w:u w:val="single"/>
          <w:lang w:val="el-GR"/>
        </w:rPr>
        <w:t xml:space="preserve"> ο ΧΥΤΑ Φυλής</w:t>
      </w:r>
      <w:r w:rsidR="00AF6EB2" w:rsidRPr="00CE0232">
        <w:rPr>
          <w:rFonts w:cstheme="minorHAnsi"/>
          <w:b/>
          <w:u w:val="single"/>
          <w:lang w:val="el-GR"/>
        </w:rPr>
        <w:t>.</w:t>
      </w:r>
      <w:r w:rsidR="000D6CBF" w:rsidRPr="00CE0232">
        <w:rPr>
          <w:rFonts w:cstheme="minorHAnsi"/>
          <w:b/>
          <w:u w:val="single"/>
          <w:lang w:val="el-GR"/>
        </w:rPr>
        <w:t xml:space="preserve"> </w:t>
      </w:r>
      <w:r w:rsidR="00AF6EB2" w:rsidRPr="00CE0232">
        <w:rPr>
          <w:rFonts w:cstheme="minorHAnsi"/>
          <w:b/>
          <w:u w:val="single"/>
          <w:lang w:val="el-GR"/>
        </w:rPr>
        <w:t xml:space="preserve"> </w:t>
      </w:r>
      <w:r w:rsidR="00AF6EB2" w:rsidRPr="00CE0232">
        <w:rPr>
          <w:rFonts w:eastAsia="Times New Roman" w:cstheme="minorHAnsi"/>
          <w:b/>
          <w:u w:val="single"/>
          <w:lang w:val="el-GR" w:eastAsia="en-GB"/>
        </w:rPr>
        <w:t>Επιπλέον να μετεγκατασταθεί σε ασφαλή θέση ο αποτεφρωτήρας.</w:t>
      </w:r>
    </w:p>
    <w:p w:rsidR="00BE2E48" w:rsidRPr="00CE0232" w:rsidRDefault="00BE2E48" w:rsidP="00BE2E48">
      <w:pPr>
        <w:pStyle w:val="a3"/>
        <w:numPr>
          <w:ilvl w:val="0"/>
          <w:numId w:val="1"/>
        </w:numPr>
        <w:spacing w:line="240" w:lineRule="auto"/>
        <w:ind w:left="426" w:hanging="426"/>
        <w:jc w:val="both"/>
        <w:rPr>
          <w:rFonts w:cstheme="minorHAnsi"/>
          <w:lang w:val="el-GR"/>
        </w:rPr>
      </w:pPr>
      <w:r w:rsidRPr="00CE0232">
        <w:rPr>
          <w:rFonts w:cstheme="minorHAnsi"/>
          <w:lang w:val="el-GR"/>
        </w:rPr>
        <w:t xml:space="preserve">Σε παγκόσµιο επίπεδο, </w:t>
      </w:r>
      <w:r w:rsidRPr="00CE0232">
        <w:rPr>
          <w:rFonts w:cstheme="minorHAnsi"/>
          <w:b/>
          <w:u w:val="single"/>
          <w:lang w:val="el-GR"/>
        </w:rPr>
        <w:t xml:space="preserve">η καύση των αποβλήτων </w:t>
      </w:r>
      <w:r w:rsidRPr="00CE0232">
        <w:rPr>
          <w:rFonts w:cstheme="minorHAnsi"/>
          <w:lang w:val="el-GR"/>
        </w:rPr>
        <w:t xml:space="preserve">θεωρείται </w:t>
      </w:r>
      <w:r w:rsidRPr="00CE0232">
        <w:rPr>
          <w:rFonts w:cstheme="minorHAnsi"/>
          <w:b/>
          <w:u w:val="single"/>
          <w:lang w:val="el-GR"/>
        </w:rPr>
        <w:t>η σηµαντικότερη πηγή έκλυσης διοξινών</w:t>
      </w:r>
      <w:r w:rsidRPr="00CE0232">
        <w:rPr>
          <w:rFonts w:cstheme="minorHAnsi"/>
          <w:lang w:val="el-GR"/>
        </w:rPr>
        <w:t>, ενώ ταυτόχρονα ευθύνεται για ένα σηµαντικό ποσοστό των εκλύσεων υδραργύρου στο περιβάλλον (</w:t>
      </w:r>
      <w:r w:rsidRPr="00CE0232">
        <w:rPr>
          <w:rFonts w:cstheme="minorHAnsi"/>
        </w:rPr>
        <w:t>Greenpeace</w:t>
      </w:r>
      <w:r w:rsidRPr="00CE0232">
        <w:rPr>
          <w:rFonts w:cstheme="minorHAnsi"/>
          <w:lang w:val="el-GR"/>
        </w:rPr>
        <w:t xml:space="preserve"> 2005). </w:t>
      </w:r>
    </w:p>
    <w:p w:rsidR="00AF6EB2" w:rsidRPr="00CE0232" w:rsidRDefault="00616643" w:rsidP="00AF6EB2">
      <w:pPr>
        <w:pStyle w:val="a3"/>
        <w:numPr>
          <w:ilvl w:val="0"/>
          <w:numId w:val="1"/>
        </w:numPr>
        <w:spacing w:line="240" w:lineRule="auto"/>
        <w:ind w:left="426" w:hanging="426"/>
        <w:jc w:val="both"/>
        <w:rPr>
          <w:rFonts w:cstheme="minorHAnsi"/>
          <w:lang w:val="el-GR"/>
        </w:rPr>
      </w:pPr>
      <w:r w:rsidRPr="00CE0232">
        <w:rPr>
          <w:rFonts w:cstheme="minorHAnsi"/>
          <w:lang w:val="el-GR"/>
        </w:rPr>
        <w:t xml:space="preserve">Η εξέλιξη της κατάστασης στο ΧΥΤΑ Φυλής επιβάλλει όσο ποτέ  άλλοτε άμεσες ενέργειες στη διαχείριση των απορριμμάτων σε  τοπικό επίπεδο. Στην κατεύθυνση αυτή θεωρούμε επιβεβλημένο και </w:t>
      </w:r>
      <w:r w:rsidRPr="00CE0232">
        <w:rPr>
          <w:rFonts w:cstheme="minorHAnsi"/>
          <w:lang w:val="el-GR"/>
        </w:rPr>
        <w:lastRenderedPageBreak/>
        <w:t xml:space="preserve">αναγκαίο τον άμεσο </w:t>
      </w:r>
      <w:r w:rsidRPr="00CE0232">
        <w:rPr>
          <w:rFonts w:cstheme="minorHAnsi"/>
          <w:b/>
          <w:u w:val="single"/>
          <w:lang w:val="el-GR"/>
        </w:rPr>
        <w:t>συντονισμό των ενεργειών με</w:t>
      </w:r>
      <w:r w:rsidR="00680258" w:rsidRPr="00CE0232">
        <w:rPr>
          <w:rFonts w:cstheme="minorHAnsi"/>
          <w:b/>
          <w:u w:val="single"/>
          <w:lang w:val="el-GR"/>
        </w:rPr>
        <w:t xml:space="preserve"> την Περιφέρεια Αττικής και</w:t>
      </w:r>
      <w:r w:rsidRPr="00CE0232">
        <w:rPr>
          <w:rFonts w:cstheme="minorHAnsi"/>
          <w:b/>
          <w:u w:val="single"/>
          <w:lang w:val="el-GR"/>
        </w:rPr>
        <w:t xml:space="preserve"> τους όμορους Δήμους</w:t>
      </w:r>
      <w:r w:rsidRPr="00CE0232">
        <w:rPr>
          <w:rFonts w:cstheme="minorHAnsi"/>
          <w:lang w:val="el-GR"/>
        </w:rPr>
        <w:t xml:space="preserve">. </w:t>
      </w:r>
    </w:p>
    <w:p w:rsidR="00616643" w:rsidRPr="00CE0232" w:rsidRDefault="00616643" w:rsidP="00494497">
      <w:pPr>
        <w:pStyle w:val="a3"/>
        <w:numPr>
          <w:ilvl w:val="0"/>
          <w:numId w:val="1"/>
        </w:numPr>
        <w:spacing w:line="240" w:lineRule="auto"/>
        <w:ind w:left="426" w:hanging="426"/>
        <w:jc w:val="both"/>
        <w:rPr>
          <w:rFonts w:cstheme="minorHAnsi"/>
          <w:lang w:val="el-GR"/>
        </w:rPr>
      </w:pPr>
      <w:r w:rsidRPr="00CE0232">
        <w:rPr>
          <w:rFonts w:cstheme="minorHAnsi"/>
          <w:b/>
          <w:u w:val="single"/>
          <w:lang w:val="el-GR"/>
        </w:rPr>
        <w:t>Προγράμματα διαχείρισης των απορριμμάτων για το Δήμο μας</w:t>
      </w:r>
      <w:r w:rsidRPr="00CE0232">
        <w:rPr>
          <w:rFonts w:cstheme="minorHAnsi"/>
          <w:lang w:val="el-GR"/>
        </w:rPr>
        <w:t xml:space="preserve"> υπάρχουν ήδη από το 2017 τόσο για τα ΑΣΑ όσο κα</w:t>
      </w:r>
      <w:r w:rsidR="00D3239B" w:rsidRPr="00CE0232">
        <w:rPr>
          <w:rFonts w:cstheme="minorHAnsi"/>
          <w:lang w:val="el-GR"/>
        </w:rPr>
        <w:t>ι για τα ανακυκλώσιμα</w:t>
      </w:r>
      <w:r w:rsidRPr="00CE0232">
        <w:rPr>
          <w:rFonts w:cstheme="minorHAnsi"/>
          <w:lang w:val="el-GR"/>
        </w:rPr>
        <w:t>. (ΠΑΡΑΔΟΤΕΟ 3.1 - Αρχικός σχεδιασμός ενός ολοκληρωμένου συστήματος Διαλογής στην Πηγή_Final_Revisi</w:t>
      </w:r>
      <w:r w:rsidR="004802FE" w:rsidRPr="00CE0232">
        <w:rPr>
          <w:rFonts w:cstheme="minorHAnsi"/>
          <w:lang w:val="el-GR"/>
        </w:rPr>
        <w:t>on_3, 13.3.2017; ΠΑΡΑΔΟΤΕΟ 3.2.</w:t>
      </w:r>
      <w:r w:rsidRPr="00CE0232">
        <w:rPr>
          <w:rFonts w:cstheme="minorHAnsi"/>
          <w:lang w:val="el-GR"/>
        </w:rPr>
        <w:t xml:space="preserve"> ΤΣΔ Αστικών Στερεών Αποβλήτων Δήμου Αμαρουσίου _Final_Revision_5, 12 3 2017).</w:t>
      </w:r>
    </w:p>
    <w:p w:rsidR="00616643" w:rsidRPr="00CE0232" w:rsidRDefault="00616643" w:rsidP="00494497">
      <w:pPr>
        <w:pStyle w:val="a3"/>
        <w:numPr>
          <w:ilvl w:val="0"/>
          <w:numId w:val="1"/>
        </w:numPr>
        <w:spacing w:line="240" w:lineRule="auto"/>
        <w:ind w:left="426" w:hanging="426"/>
        <w:jc w:val="both"/>
        <w:rPr>
          <w:rFonts w:cstheme="minorHAnsi"/>
          <w:lang w:val="el-GR"/>
        </w:rPr>
      </w:pPr>
      <w:r w:rsidRPr="00CE0232">
        <w:rPr>
          <w:rFonts w:cstheme="minorHAnsi"/>
          <w:lang w:val="el-GR"/>
        </w:rPr>
        <w:t xml:space="preserve">Τα προγράμματα που υπάρχουν θα πρέπει να τεθούν σε εφαρμογή </w:t>
      </w:r>
      <w:r w:rsidR="00D3239B" w:rsidRPr="00CE0232">
        <w:rPr>
          <w:rFonts w:cstheme="minorHAnsi"/>
          <w:lang w:val="el-GR"/>
        </w:rPr>
        <w:t xml:space="preserve">αρχικά </w:t>
      </w:r>
      <w:r w:rsidRPr="00CE0232">
        <w:rPr>
          <w:rFonts w:cstheme="minorHAnsi"/>
          <w:lang w:val="el-GR"/>
        </w:rPr>
        <w:t xml:space="preserve">σε </w:t>
      </w:r>
      <w:r w:rsidRPr="00CE0232">
        <w:rPr>
          <w:rFonts w:cstheme="minorHAnsi"/>
          <w:b/>
          <w:u w:val="single"/>
          <w:lang w:val="el-GR"/>
        </w:rPr>
        <w:t xml:space="preserve">πιλοτική βάση με παρακολούθηση και καταγραφή των αποτελεσμάτων τους </w:t>
      </w:r>
      <w:r w:rsidRPr="00CE0232">
        <w:rPr>
          <w:rFonts w:cstheme="minorHAnsi"/>
          <w:lang w:val="el-GR"/>
        </w:rPr>
        <w:t>και να μην αφεθούν στην τύχη τους, όπως συνέβαινε μέχρι τώρα.</w:t>
      </w:r>
    </w:p>
    <w:p w:rsidR="00616643" w:rsidRPr="00CE0232" w:rsidRDefault="00616643" w:rsidP="00494497">
      <w:pPr>
        <w:pStyle w:val="a3"/>
        <w:numPr>
          <w:ilvl w:val="0"/>
          <w:numId w:val="1"/>
        </w:numPr>
        <w:spacing w:line="240" w:lineRule="auto"/>
        <w:ind w:left="426" w:hanging="426"/>
        <w:jc w:val="both"/>
        <w:rPr>
          <w:rFonts w:cstheme="minorHAnsi"/>
          <w:lang w:val="el-GR"/>
        </w:rPr>
      </w:pPr>
      <w:r w:rsidRPr="00CE0232">
        <w:rPr>
          <w:rFonts w:cstheme="minorHAnsi"/>
          <w:lang w:val="el-GR"/>
        </w:rPr>
        <w:t xml:space="preserve">Σε ότι αγορά τους </w:t>
      </w:r>
      <w:r w:rsidRPr="00CE0232">
        <w:rPr>
          <w:rFonts w:cstheme="minorHAnsi"/>
          <w:b/>
          <w:u w:val="single"/>
          <w:lang w:val="el-GR"/>
        </w:rPr>
        <w:t>εργαζόμενους στον τομέα καθαριότητας</w:t>
      </w:r>
      <w:r w:rsidRPr="00CE0232">
        <w:rPr>
          <w:rFonts w:cstheme="minorHAnsi"/>
          <w:lang w:val="el-GR"/>
        </w:rPr>
        <w:t xml:space="preserve"> η στενή συνεργασία της δημοτικής αρχής μαζί τους θεωρείται αυτονόητη για την επιτυχία υλοποίησης οποιουδήποτε προγράμματος διαχείρισης απορριμμάτων του Δήμου. </w:t>
      </w:r>
    </w:p>
    <w:p w:rsidR="00616643" w:rsidRPr="00CE0232" w:rsidRDefault="00616643" w:rsidP="00494497">
      <w:pPr>
        <w:pStyle w:val="a3"/>
        <w:numPr>
          <w:ilvl w:val="0"/>
          <w:numId w:val="1"/>
        </w:numPr>
        <w:spacing w:line="240" w:lineRule="auto"/>
        <w:ind w:left="426" w:hanging="426"/>
        <w:jc w:val="both"/>
        <w:rPr>
          <w:rFonts w:cstheme="minorHAnsi"/>
          <w:lang w:val="el-GR"/>
        </w:rPr>
      </w:pPr>
      <w:r w:rsidRPr="00CE0232">
        <w:rPr>
          <w:rFonts w:cstheme="minorHAnsi"/>
          <w:lang w:val="el-GR"/>
        </w:rPr>
        <w:t>Το δικαίωμα κάθε  πολίτη για μόνιμη και σταθερή</w:t>
      </w:r>
      <w:r w:rsidR="00F363D0" w:rsidRPr="00CE0232">
        <w:rPr>
          <w:rFonts w:cstheme="minorHAnsi"/>
          <w:lang w:val="el-GR"/>
        </w:rPr>
        <w:t xml:space="preserve"> εργασία είναι αναφαίρετο. Επιβάλλεται</w:t>
      </w:r>
      <w:r w:rsidRPr="00CE0232">
        <w:rPr>
          <w:rFonts w:cstheme="minorHAnsi"/>
          <w:lang w:val="el-GR"/>
        </w:rPr>
        <w:t xml:space="preserve"> </w:t>
      </w:r>
      <w:r w:rsidRPr="00CE0232">
        <w:rPr>
          <w:rFonts w:cstheme="minorHAnsi"/>
          <w:b/>
          <w:u w:val="single"/>
          <w:lang w:val="el-GR"/>
        </w:rPr>
        <w:t>η εκπαίδευση σε θέματα Ασφάλειας της Εργασίας</w:t>
      </w:r>
      <w:r w:rsidRPr="00CE0232">
        <w:rPr>
          <w:rFonts w:cstheme="minorHAnsi"/>
          <w:b/>
          <w:lang w:val="el-GR"/>
        </w:rPr>
        <w:t xml:space="preserve"> </w:t>
      </w:r>
      <w:r w:rsidRPr="00CE0232">
        <w:rPr>
          <w:rFonts w:cstheme="minorHAnsi"/>
          <w:lang w:val="el-GR"/>
        </w:rPr>
        <w:t>και ιδιαίτερα των συμβασιούχων που οι περισσότεροι δεν έχουν εμπειρία</w:t>
      </w:r>
      <w:r w:rsidR="00F363D0" w:rsidRPr="00CE0232">
        <w:rPr>
          <w:rFonts w:cstheme="minorHAnsi"/>
          <w:lang w:val="el-GR"/>
        </w:rPr>
        <w:t>,</w:t>
      </w:r>
      <w:r w:rsidRPr="00CE0232">
        <w:rPr>
          <w:rFonts w:cstheme="minorHAnsi"/>
          <w:lang w:val="el-GR"/>
        </w:rPr>
        <w:t xml:space="preserve"> ώστε  </w:t>
      </w:r>
      <w:r w:rsidRPr="00CE0232">
        <w:rPr>
          <w:rFonts w:cstheme="minorHAnsi"/>
          <w:b/>
          <w:u w:val="single"/>
          <w:lang w:val="el-GR"/>
        </w:rPr>
        <w:t>να αποφευχθούν τα εργατικά ατυχήματα</w:t>
      </w:r>
      <w:r w:rsidR="00D3239B" w:rsidRPr="00CE0232">
        <w:rPr>
          <w:rFonts w:cstheme="minorHAnsi"/>
          <w:lang w:val="el-GR"/>
        </w:rPr>
        <w:t>. Π</w:t>
      </w:r>
      <w:r w:rsidRPr="00CE0232">
        <w:rPr>
          <w:rFonts w:cstheme="minorHAnsi"/>
          <w:lang w:val="el-GR"/>
        </w:rPr>
        <w:t xml:space="preserve">ολλά από </w:t>
      </w:r>
      <w:r w:rsidR="0008105A" w:rsidRPr="00CE0232">
        <w:rPr>
          <w:rFonts w:cstheme="minorHAnsi"/>
          <w:lang w:val="el-GR"/>
        </w:rPr>
        <w:t xml:space="preserve">αυτά, δυστυχώς </w:t>
      </w:r>
      <w:r w:rsidRPr="00CE0232">
        <w:rPr>
          <w:rFonts w:cstheme="minorHAnsi"/>
          <w:lang w:val="el-GR"/>
        </w:rPr>
        <w:t xml:space="preserve"> θανατηφόρα</w:t>
      </w:r>
      <w:r w:rsidR="0008105A" w:rsidRPr="00CE0232">
        <w:rPr>
          <w:rFonts w:cstheme="minorHAnsi"/>
          <w:lang w:val="el-GR"/>
        </w:rPr>
        <w:t>,</w:t>
      </w:r>
      <w:r w:rsidRPr="00CE0232">
        <w:rPr>
          <w:rFonts w:cstheme="minorHAnsi"/>
          <w:lang w:val="el-GR"/>
        </w:rPr>
        <w:t xml:space="preserve"> συμβαίνουν στις υπηρεσίες καθαριότητας και πρασίνου των δήμων αρκετά συχνά τα τελευταία χρόνια που κυριαρχούν οι οχτάμηνες συμβάσεις εργασίας. </w:t>
      </w:r>
    </w:p>
    <w:p w:rsidR="00616643" w:rsidRPr="00CE0232" w:rsidRDefault="00616643" w:rsidP="00494497">
      <w:pPr>
        <w:pStyle w:val="a3"/>
        <w:numPr>
          <w:ilvl w:val="0"/>
          <w:numId w:val="1"/>
        </w:numPr>
        <w:spacing w:line="240" w:lineRule="auto"/>
        <w:ind w:left="426" w:hanging="426"/>
        <w:jc w:val="both"/>
        <w:rPr>
          <w:rFonts w:cstheme="minorHAnsi"/>
          <w:lang w:val="el-GR"/>
        </w:rPr>
      </w:pPr>
      <w:r w:rsidRPr="00CE0232">
        <w:rPr>
          <w:rFonts w:cstheme="minorHAnsi"/>
          <w:b/>
          <w:u w:val="single"/>
          <w:lang w:val="el-GR"/>
        </w:rPr>
        <w:t xml:space="preserve">Να τηρούνται με </w:t>
      </w:r>
      <w:r w:rsidR="00A95605" w:rsidRPr="00CE0232">
        <w:rPr>
          <w:rFonts w:cstheme="minorHAnsi"/>
          <w:b/>
          <w:u w:val="single"/>
          <w:lang w:val="el-GR"/>
        </w:rPr>
        <w:t>σχολαστικότητα οι</w:t>
      </w:r>
      <w:r w:rsidRPr="00CE0232">
        <w:rPr>
          <w:rFonts w:cstheme="minorHAnsi"/>
          <w:b/>
          <w:u w:val="single"/>
          <w:lang w:val="el-GR"/>
        </w:rPr>
        <w:t xml:space="preserve"> κανόνες ασφάλειας, προστασίας και υγιεινής</w:t>
      </w:r>
      <w:r w:rsidRPr="00CE0232">
        <w:rPr>
          <w:rFonts w:cstheme="minorHAnsi"/>
          <w:lang w:val="el-GR"/>
        </w:rPr>
        <w:t xml:space="preserve"> που προβλέπονται από το εθνικό νομικό πλαίσιο και τον κανονισμό του Δήμου.  </w:t>
      </w:r>
    </w:p>
    <w:p w:rsidR="00A95605" w:rsidRPr="00CE0232" w:rsidRDefault="00BB2295" w:rsidP="00494497">
      <w:pPr>
        <w:pStyle w:val="a3"/>
        <w:numPr>
          <w:ilvl w:val="0"/>
          <w:numId w:val="1"/>
        </w:numPr>
        <w:spacing w:line="240" w:lineRule="auto"/>
        <w:ind w:left="426" w:hanging="426"/>
        <w:jc w:val="both"/>
        <w:rPr>
          <w:rFonts w:cstheme="minorHAnsi"/>
          <w:lang w:val="el-GR"/>
        </w:rPr>
      </w:pPr>
      <w:r w:rsidRPr="00CE0232">
        <w:rPr>
          <w:rFonts w:cstheme="minorHAnsi"/>
          <w:b/>
          <w:u w:val="single"/>
          <w:lang w:val="el-GR"/>
        </w:rPr>
        <w:t>Ο Δήμος ν</w:t>
      </w:r>
      <w:r w:rsidR="008B7972" w:rsidRPr="00CE0232">
        <w:rPr>
          <w:rFonts w:cstheme="minorHAnsi"/>
          <w:b/>
          <w:u w:val="single"/>
          <w:lang w:val="el-GR"/>
        </w:rPr>
        <w:t xml:space="preserve">α </w:t>
      </w:r>
      <w:r w:rsidR="008B7972" w:rsidRPr="00CE0232">
        <w:rPr>
          <w:rFonts w:cstheme="minorHAnsi"/>
          <w:u w:val="single"/>
          <w:lang w:val="el-GR"/>
        </w:rPr>
        <w:t>επαναδιαπραγματευθεί άμεσα τη σύμβαση</w:t>
      </w:r>
      <w:r w:rsidR="008B7972" w:rsidRPr="00CE0232">
        <w:rPr>
          <w:rFonts w:cstheme="minorHAnsi"/>
          <w:lang w:val="el-GR"/>
        </w:rPr>
        <w:t xml:space="preserve"> με την Ελληνική Εταιρεία Ανακύκλωσης, ώστε να βελτιωθούν οι όροι της προς όφελος των δημοτών.</w:t>
      </w:r>
    </w:p>
    <w:p w:rsidR="00A95605" w:rsidRPr="00CE0232" w:rsidRDefault="00BB2295" w:rsidP="00494497">
      <w:pPr>
        <w:pStyle w:val="a3"/>
        <w:numPr>
          <w:ilvl w:val="0"/>
          <w:numId w:val="1"/>
        </w:numPr>
        <w:spacing w:line="240" w:lineRule="auto"/>
        <w:ind w:left="426" w:hanging="426"/>
        <w:jc w:val="both"/>
        <w:rPr>
          <w:rFonts w:cstheme="minorHAnsi"/>
          <w:lang w:val="el-GR"/>
        </w:rPr>
      </w:pPr>
      <w:r w:rsidRPr="00CE0232">
        <w:rPr>
          <w:rFonts w:cstheme="minorHAnsi"/>
          <w:b/>
          <w:u w:val="single"/>
          <w:lang w:val="el-GR"/>
        </w:rPr>
        <w:t>Η χρηματοδότηση</w:t>
      </w:r>
      <w:r w:rsidRPr="00CE0232">
        <w:rPr>
          <w:rFonts w:cstheme="minorHAnsi"/>
          <w:lang w:val="el-GR"/>
        </w:rPr>
        <w:t xml:space="preserve"> για την υλοποίηση του Τοπικού Σχεδίου Διαχείρισης Απορριμμάτων μπορεί να γίνει από ίδιους  πόρους του Δήμου και συγκεκριμένα από το υπάρχον αποθεματικό (περίπου 30 εκατ.) που έχει προκύψει από τα υπερβολικά ανταποδοτικά τέλη που επιβάλλει διαχρονικά ο Δήμος </w:t>
      </w:r>
      <w:r w:rsidR="0008105A" w:rsidRPr="00CE0232">
        <w:rPr>
          <w:rFonts w:cstheme="minorHAnsi"/>
          <w:lang w:val="el-GR"/>
        </w:rPr>
        <w:t xml:space="preserve">Αμαρουσίου </w:t>
      </w:r>
      <w:r w:rsidRPr="00CE0232">
        <w:rPr>
          <w:rFonts w:cstheme="minorHAnsi"/>
          <w:lang w:val="el-GR"/>
        </w:rPr>
        <w:t>στους Δημότες.</w:t>
      </w:r>
    </w:p>
    <w:p w:rsidR="00616643" w:rsidRPr="00CE0232" w:rsidRDefault="00616643" w:rsidP="00494497">
      <w:pPr>
        <w:spacing w:line="240" w:lineRule="auto"/>
        <w:jc w:val="both"/>
        <w:rPr>
          <w:rFonts w:eastAsia="Times New Roman" w:cstheme="minorHAnsi"/>
          <w:b/>
          <w:u w:val="single"/>
          <w:lang w:val="el-GR" w:eastAsia="en-GB"/>
        </w:rPr>
      </w:pPr>
      <w:r w:rsidRPr="00CE0232">
        <w:rPr>
          <w:rFonts w:cstheme="minorHAnsi"/>
          <w:lang w:val="el-GR"/>
        </w:rPr>
        <w:t xml:space="preserve"> </w:t>
      </w:r>
      <w:r w:rsidRPr="00CE0232">
        <w:rPr>
          <w:rFonts w:eastAsia="Times New Roman" w:cstheme="minorHAnsi"/>
          <w:b/>
          <w:u w:val="single"/>
          <w:lang w:val="el-GR" w:eastAsia="en-GB"/>
        </w:rPr>
        <w:t>Επείγοντα προβλήματα που απαιτούν άμεση αντιμετώπιση  προκρίνουμε:</w:t>
      </w:r>
    </w:p>
    <w:p w:rsidR="00616643" w:rsidRPr="00CE0232" w:rsidRDefault="00616643" w:rsidP="00494497">
      <w:pPr>
        <w:pStyle w:val="a3"/>
        <w:numPr>
          <w:ilvl w:val="0"/>
          <w:numId w:val="8"/>
        </w:numPr>
        <w:shd w:val="clear" w:color="auto" w:fill="FFFFFF"/>
        <w:spacing w:before="100" w:beforeAutospacing="1" w:after="100" w:afterAutospacing="1" w:line="240" w:lineRule="auto"/>
        <w:ind w:left="426" w:right="14" w:hanging="426"/>
        <w:jc w:val="both"/>
        <w:rPr>
          <w:rFonts w:eastAsia="Times New Roman" w:cstheme="minorHAnsi"/>
          <w:b/>
          <w:lang w:val="el-GR" w:eastAsia="en-GB"/>
        </w:rPr>
      </w:pPr>
      <w:r w:rsidRPr="00CE0232">
        <w:rPr>
          <w:rFonts w:eastAsia="Times New Roman" w:cstheme="minorHAnsi"/>
          <w:b/>
          <w:lang w:val="el-GR" w:eastAsia="en-GB"/>
        </w:rPr>
        <w:t>Την άμεση</w:t>
      </w:r>
      <w:r w:rsidRPr="00CE0232">
        <w:rPr>
          <w:rFonts w:cstheme="minorHAnsi"/>
          <w:b/>
          <w:lang w:val="el-GR"/>
        </w:rPr>
        <w:t xml:space="preserve"> μεταφορά και εγκατάσταση του αμαξοστασίου</w:t>
      </w:r>
      <w:r w:rsidR="007608CF" w:rsidRPr="00CE0232">
        <w:rPr>
          <w:rFonts w:cstheme="minorHAnsi"/>
          <w:b/>
          <w:lang w:val="el-GR"/>
        </w:rPr>
        <w:t xml:space="preserve">, </w:t>
      </w:r>
      <w:r w:rsidRPr="00CE0232">
        <w:rPr>
          <w:rFonts w:cstheme="minorHAnsi"/>
          <w:b/>
          <w:lang w:val="el-GR"/>
        </w:rPr>
        <w:t>των λοιπών υποδομών,</w:t>
      </w:r>
      <w:r w:rsidR="007608CF" w:rsidRPr="00CE0232">
        <w:rPr>
          <w:rFonts w:cstheme="minorHAnsi"/>
          <w:b/>
          <w:lang w:val="el-GR"/>
        </w:rPr>
        <w:t xml:space="preserve"> των συνεργείων και των εγκαταστάσεων υγιεινής </w:t>
      </w:r>
      <w:r w:rsidRPr="00CE0232">
        <w:rPr>
          <w:rFonts w:cstheme="minorHAnsi"/>
          <w:b/>
          <w:lang w:val="el-GR"/>
        </w:rPr>
        <w:t xml:space="preserve"> </w:t>
      </w:r>
      <w:r w:rsidRPr="00CE0232">
        <w:rPr>
          <w:rFonts w:eastAsia="Times New Roman" w:cstheme="minorHAnsi"/>
          <w:b/>
          <w:lang w:val="el-GR" w:eastAsia="en-GB"/>
        </w:rPr>
        <w:t xml:space="preserve">σε κατάλληλο οικόπεδο του Δήμου </w:t>
      </w:r>
      <w:r w:rsidR="007608CF" w:rsidRPr="00CE0232">
        <w:rPr>
          <w:rFonts w:eastAsia="Times New Roman" w:cstheme="minorHAnsi"/>
          <w:b/>
          <w:lang w:val="el-GR" w:eastAsia="en-GB"/>
        </w:rPr>
        <w:t xml:space="preserve"> ή του Δημοσίου.</w:t>
      </w:r>
    </w:p>
    <w:p w:rsidR="00616643" w:rsidRPr="00CE0232" w:rsidRDefault="00616643" w:rsidP="00494497">
      <w:pPr>
        <w:pStyle w:val="a3"/>
        <w:numPr>
          <w:ilvl w:val="0"/>
          <w:numId w:val="8"/>
        </w:numPr>
        <w:shd w:val="clear" w:color="auto" w:fill="FFFFFF"/>
        <w:spacing w:before="100" w:beforeAutospacing="1" w:after="100" w:afterAutospacing="1" w:line="240" w:lineRule="auto"/>
        <w:ind w:left="426" w:right="14" w:hanging="426"/>
        <w:jc w:val="both"/>
        <w:rPr>
          <w:rFonts w:eastAsia="Times New Roman" w:cstheme="minorHAnsi"/>
          <w:b/>
          <w:lang w:val="el-GR" w:eastAsia="en-GB"/>
        </w:rPr>
      </w:pPr>
      <w:r w:rsidRPr="00CE0232">
        <w:rPr>
          <w:rFonts w:eastAsia="Times New Roman" w:cstheme="minorHAnsi"/>
          <w:b/>
          <w:lang w:val="el-GR" w:eastAsia="en-GB"/>
        </w:rPr>
        <w:t xml:space="preserve">Την </w:t>
      </w:r>
      <w:r w:rsidR="007608CF" w:rsidRPr="00CE0232">
        <w:rPr>
          <w:rFonts w:eastAsia="Times New Roman" w:cstheme="minorHAnsi"/>
          <w:b/>
          <w:lang w:val="el-GR" w:eastAsia="en-GB"/>
        </w:rPr>
        <w:t xml:space="preserve">άμεση </w:t>
      </w:r>
      <w:r w:rsidRPr="00CE0232">
        <w:rPr>
          <w:rFonts w:eastAsia="Times New Roman" w:cstheme="minorHAnsi"/>
          <w:b/>
          <w:lang w:val="el-GR" w:eastAsia="en-GB"/>
        </w:rPr>
        <w:t>αντικατάσταση των κάδων απορριμμάτων που βρίσκονται ακόμη και σε επικίνδυνη κατάσταση. Περιοδικό καθαρισμό των κάδων και ιδίως αυτών που δέχονται τα σύμμικτα απορρίμματα</w:t>
      </w:r>
      <w:r w:rsidR="007608CF" w:rsidRPr="00CE0232">
        <w:rPr>
          <w:rFonts w:eastAsia="Times New Roman" w:cstheme="minorHAnsi"/>
          <w:b/>
          <w:lang w:val="el-GR" w:eastAsia="en-GB"/>
        </w:rPr>
        <w:t>.</w:t>
      </w:r>
    </w:p>
    <w:p w:rsidR="00E93A80" w:rsidRPr="00CE0232" w:rsidRDefault="007608CF" w:rsidP="00E07F1A">
      <w:pPr>
        <w:pStyle w:val="a3"/>
        <w:numPr>
          <w:ilvl w:val="0"/>
          <w:numId w:val="8"/>
        </w:numPr>
        <w:shd w:val="clear" w:color="auto" w:fill="FFFFFF"/>
        <w:spacing w:before="100" w:beforeAutospacing="1" w:after="100" w:afterAutospacing="1" w:line="240" w:lineRule="auto"/>
        <w:ind w:left="426" w:right="14" w:hanging="426"/>
        <w:jc w:val="both"/>
        <w:rPr>
          <w:rFonts w:eastAsia="Times New Roman" w:cstheme="minorHAnsi"/>
          <w:b/>
          <w:lang w:val="el-GR" w:eastAsia="en-GB"/>
        </w:rPr>
      </w:pPr>
      <w:r w:rsidRPr="00CE0232">
        <w:rPr>
          <w:rFonts w:cstheme="minorHAnsi"/>
          <w:b/>
          <w:lang w:val="el-GR"/>
        </w:rPr>
        <w:t>Την ά</w:t>
      </w:r>
      <w:r w:rsidR="00616643" w:rsidRPr="00CE0232">
        <w:rPr>
          <w:rFonts w:cstheme="minorHAnsi"/>
          <w:b/>
          <w:lang w:val="el-GR"/>
        </w:rPr>
        <w:t xml:space="preserve">μεση </w:t>
      </w:r>
      <w:r w:rsidR="00A95605" w:rsidRPr="00CE0232">
        <w:rPr>
          <w:rFonts w:cstheme="minorHAnsi"/>
          <w:b/>
          <w:lang w:val="el-GR"/>
        </w:rPr>
        <w:t xml:space="preserve">υλοποίηση </w:t>
      </w:r>
      <w:r w:rsidR="00616643" w:rsidRPr="00CE0232">
        <w:rPr>
          <w:rFonts w:cstheme="minorHAnsi"/>
          <w:b/>
          <w:lang w:val="el-GR"/>
        </w:rPr>
        <w:t xml:space="preserve"> </w:t>
      </w:r>
      <w:r w:rsidR="009C3AF0" w:rsidRPr="00CE0232">
        <w:rPr>
          <w:rFonts w:cstheme="minorHAnsi"/>
          <w:b/>
          <w:lang w:val="el-GR"/>
        </w:rPr>
        <w:t>των όσων προέκυψαν από Διαβούλευση του 2017 για κατασκευή των πράσινων σημείων.</w:t>
      </w:r>
      <w:r w:rsidR="00616643" w:rsidRPr="00CE0232">
        <w:rPr>
          <w:rFonts w:cstheme="minorHAnsi"/>
          <w:b/>
          <w:lang w:val="el-GR"/>
        </w:rPr>
        <w:t xml:space="preserve"> </w:t>
      </w:r>
    </w:p>
    <w:p w:rsidR="00591E8E" w:rsidRPr="00CE0232" w:rsidRDefault="00591E8E" w:rsidP="00E93A80">
      <w:pPr>
        <w:pStyle w:val="a3"/>
        <w:shd w:val="clear" w:color="auto" w:fill="FFFFFF"/>
        <w:spacing w:before="100" w:beforeAutospacing="1" w:after="100" w:afterAutospacing="1" w:line="240" w:lineRule="auto"/>
        <w:ind w:left="426" w:right="14"/>
        <w:jc w:val="both"/>
        <w:rPr>
          <w:rFonts w:cstheme="minorHAnsi"/>
          <w:lang w:val="el-GR"/>
        </w:rPr>
      </w:pPr>
    </w:p>
    <w:p w:rsidR="00616643" w:rsidRPr="00CE0232" w:rsidRDefault="00616643" w:rsidP="00E93A80">
      <w:pPr>
        <w:pStyle w:val="a3"/>
        <w:shd w:val="clear" w:color="auto" w:fill="FFFFFF"/>
        <w:spacing w:before="100" w:beforeAutospacing="1" w:after="100" w:afterAutospacing="1" w:line="240" w:lineRule="auto"/>
        <w:ind w:left="426" w:right="14"/>
        <w:jc w:val="both"/>
        <w:rPr>
          <w:rFonts w:eastAsia="Times New Roman" w:cstheme="minorHAnsi"/>
          <w:lang w:val="el-GR" w:eastAsia="en-GB"/>
        </w:rPr>
      </w:pPr>
      <w:r w:rsidRPr="00CE0232">
        <w:rPr>
          <w:rFonts w:cstheme="minorHAnsi"/>
          <w:lang w:val="el-GR"/>
        </w:rPr>
        <w:t>Πέραν των παραπάνω πρέπει να λάβουμε υπόψη μας ότι:</w:t>
      </w:r>
    </w:p>
    <w:p w:rsidR="00616643" w:rsidRPr="00CE0232" w:rsidRDefault="00616643" w:rsidP="00E07F1A">
      <w:pPr>
        <w:pStyle w:val="a3"/>
        <w:numPr>
          <w:ilvl w:val="0"/>
          <w:numId w:val="2"/>
        </w:numPr>
        <w:shd w:val="clear" w:color="auto" w:fill="FFFFFF"/>
        <w:spacing w:before="100" w:beforeAutospacing="1" w:after="100" w:afterAutospacing="1" w:line="240" w:lineRule="auto"/>
        <w:ind w:left="426" w:right="14" w:hanging="426"/>
        <w:jc w:val="both"/>
        <w:rPr>
          <w:rFonts w:eastAsia="Times New Roman" w:cstheme="minorHAnsi"/>
          <w:lang w:val="el-GR" w:eastAsia="en-GB"/>
        </w:rPr>
      </w:pPr>
      <w:r w:rsidRPr="00CE0232">
        <w:rPr>
          <w:rFonts w:cstheme="minorHAnsi"/>
          <w:lang w:val="el-GR"/>
        </w:rPr>
        <w:t xml:space="preserve">Σύμφωνα με τα στοιχεία της Κομισιόν, </w:t>
      </w:r>
      <w:r w:rsidRPr="00CE0232">
        <w:rPr>
          <w:rFonts w:cstheme="minorHAnsi"/>
          <w:u w:val="single"/>
          <w:lang w:val="el-GR"/>
        </w:rPr>
        <w:t>το 81% των απορριμμάτων της Ελλάδας θάβονται</w:t>
      </w:r>
      <w:r w:rsidRPr="00CE0232">
        <w:rPr>
          <w:rFonts w:cstheme="minorHAnsi"/>
          <w:lang w:val="el-GR"/>
        </w:rPr>
        <w:t>, έναντι 26% που είναι ο μέσος όρος της Ε.Ε. (</w:t>
      </w:r>
      <w:hyperlink r:id="rId12" w:history="1">
        <w:r w:rsidRPr="00CE0232">
          <w:rPr>
            <w:rStyle w:val="-"/>
            <w:rFonts w:cstheme="minorHAnsi"/>
            <w:bCs/>
            <w:color w:val="auto"/>
            <w:lang w:val="el-GR"/>
          </w:rPr>
          <w:t xml:space="preserve">Οδηγία 849 </w:t>
        </w:r>
      </w:hyperlink>
      <w:r w:rsidRPr="00CE0232">
        <w:rPr>
          <w:rFonts w:cstheme="minorHAnsi"/>
          <w:bCs/>
          <w:lang w:val="el-GR"/>
        </w:rPr>
        <w:t xml:space="preserve">, </w:t>
      </w:r>
      <w:hyperlink r:id="rId13" w:history="1">
        <w:r w:rsidRPr="00CE0232">
          <w:rPr>
            <w:rStyle w:val="-"/>
            <w:rFonts w:cstheme="minorHAnsi"/>
            <w:bCs/>
            <w:color w:val="auto"/>
            <w:lang w:val="el-GR"/>
          </w:rPr>
          <w:t xml:space="preserve">850 </w:t>
        </w:r>
      </w:hyperlink>
      <w:r w:rsidRPr="00CE0232">
        <w:rPr>
          <w:rFonts w:cstheme="minorHAnsi"/>
          <w:bCs/>
          <w:lang w:val="el-GR"/>
        </w:rPr>
        <w:t xml:space="preserve">, </w:t>
      </w:r>
      <w:hyperlink r:id="rId14" w:history="1">
        <w:r w:rsidRPr="00CE0232">
          <w:rPr>
            <w:rStyle w:val="-"/>
            <w:rFonts w:cstheme="minorHAnsi"/>
            <w:color w:val="auto"/>
            <w:lang w:val="el-GR"/>
          </w:rPr>
          <w:t xml:space="preserve">851 </w:t>
        </w:r>
      </w:hyperlink>
      <w:r w:rsidRPr="00CE0232">
        <w:rPr>
          <w:rFonts w:cstheme="minorHAnsi"/>
          <w:lang w:val="el-GR"/>
        </w:rPr>
        <w:t xml:space="preserve">, </w:t>
      </w:r>
      <w:r w:rsidRPr="00CE0232">
        <w:rPr>
          <w:rFonts w:cstheme="minorHAnsi"/>
          <w:bCs/>
          <w:lang w:val="el-GR"/>
        </w:rPr>
        <w:t>852/2018</w:t>
      </w:r>
      <w:r w:rsidRPr="00CE0232">
        <w:rPr>
          <w:rFonts w:eastAsia="Calibri" w:cstheme="minorHAnsi"/>
          <w:lang w:val="el-GR" w:eastAsia="en-GB"/>
        </w:rPr>
        <w:t xml:space="preserve">). </w:t>
      </w:r>
    </w:p>
    <w:p w:rsidR="00616643" w:rsidRPr="00CE0232" w:rsidRDefault="00616643" w:rsidP="00E07F1A">
      <w:pPr>
        <w:pStyle w:val="a3"/>
        <w:numPr>
          <w:ilvl w:val="0"/>
          <w:numId w:val="2"/>
        </w:numPr>
        <w:shd w:val="clear" w:color="auto" w:fill="FFFFFF"/>
        <w:spacing w:before="100" w:beforeAutospacing="1" w:after="100" w:afterAutospacing="1" w:line="240" w:lineRule="auto"/>
        <w:ind w:left="426" w:right="14" w:hanging="426"/>
        <w:jc w:val="both"/>
        <w:rPr>
          <w:rFonts w:eastAsia="Times New Roman" w:cstheme="minorHAnsi"/>
          <w:lang w:val="el-GR" w:eastAsia="en-GB"/>
        </w:rPr>
      </w:pPr>
      <w:r w:rsidRPr="00CE0232">
        <w:rPr>
          <w:rFonts w:eastAsia="Calibri" w:cstheme="minorHAnsi"/>
          <w:u w:val="single"/>
          <w:lang w:val="el-GR" w:eastAsia="en-GB"/>
        </w:rPr>
        <w:t xml:space="preserve">Το ΥΠΕΝ έχει </w:t>
      </w:r>
      <w:r w:rsidR="00381528" w:rsidRPr="00CE0232">
        <w:rPr>
          <w:rFonts w:eastAsia="Calibri" w:cstheme="minorHAnsi"/>
          <w:u w:val="single"/>
          <w:lang w:val="el-GR" w:eastAsia="en-GB"/>
        </w:rPr>
        <w:t xml:space="preserve">ήδη </w:t>
      </w:r>
      <w:r w:rsidRPr="00CE0232">
        <w:rPr>
          <w:rFonts w:eastAsia="Calibri" w:cstheme="minorHAnsi"/>
          <w:u w:val="single"/>
          <w:lang w:val="el-GR" w:eastAsia="en-GB"/>
        </w:rPr>
        <w:t>με νέα ΚΥΑ ορί</w:t>
      </w:r>
      <w:r w:rsidR="0008105A" w:rsidRPr="00CE0232">
        <w:rPr>
          <w:rFonts w:eastAsia="Calibri" w:cstheme="minorHAnsi"/>
          <w:u w:val="single"/>
          <w:lang w:val="el-GR" w:eastAsia="en-GB"/>
        </w:rPr>
        <w:t>σει</w:t>
      </w:r>
      <w:r w:rsidRPr="00CE0232">
        <w:rPr>
          <w:rFonts w:eastAsia="Calibri" w:cstheme="minorHAnsi"/>
          <w:u w:val="single"/>
          <w:lang w:val="el-GR" w:eastAsia="en-GB"/>
        </w:rPr>
        <w:t xml:space="preserve"> </w:t>
      </w:r>
      <w:r w:rsidRPr="00CE0232">
        <w:rPr>
          <w:rFonts w:eastAsia="Times New Roman" w:cstheme="minorHAnsi"/>
          <w:u w:val="single"/>
          <w:lang w:val="el-GR" w:eastAsia="en-GB"/>
        </w:rPr>
        <w:t>υψηλότερη χρέωση</w:t>
      </w:r>
      <w:r w:rsidRPr="00CE0232">
        <w:rPr>
          <w:rFonts w:eastAsia="Calibri" w:cstheme="minorHAnsi"/>
          <w:u w:val="single"/>
          <w:lang w:val="el-GR" w:eastAsia="en-GB"/>
        </w:rPr>
        <w:t xml:space="preserve"> για την </w:t>
      </w:r>
      <w:r w:rsidRPr="00CE0232">
        <w:rPr>
          <w:rFonts w:eastAsia="Times New Roman" w:cstheme="minorHAnsi"/>
          <w:u w:val="single"/>
          <w:lang w:val="el-GR" w:eastAsia="en-GB"/>
        </w:rPr>
        <w:t xml:space="preserve"> ταφή των αποβλήτων ή υπολειμμάτων</w:t>
      </w:r>
      <w:r w:rsidRPr="00CE0232">
        <w:rPr>
          <w:rFonts w:eastAsia="Times New Roman" w:cstheme="minorHAnsi"/>
          <w:lang w:val="el-GR" w:eastAsia="en-GB"/>
        </w:rPr>
        <w:t xml:space="preserve">  ακόμη και τριπλάσια </w:t>
      </w:r>
      <w:r w:rsidR="0008105A" w:rsidRPr="00CE0232">
        <w:rPr>
          <w:rFonts w:eastAsia="Times New Roman" w:cstheme="minorHAnsi"/>
          <w:lang w:val="el-GR" w:eastAsia="en-GB"/>
        </w:rPr>
        <w:t xml:space="preserve">συγκριτικά με </w:t>
      </w:r>
      <w:r w:rsidRPr="00CE0232">
        <w:rPr>
          <w:rFonts w:eastAsia="Times New Roman" w:cstheme="minorHAnsi"/>
          <w:lang w:val="el-GR" w:eastAsia="en-GB"/>
        </w:rPr>
        <w:t xml:space="preserve"> τη διαλογή στην πηγή, ενώ η ανάκτηση χωριστά συλλεγέντων αποβλήτων (βιοαπόβλητα, ανακυκλώσιμα υλικά) θα έχει τη χαμηλότερη χρέωση</w:t>
      </w:r>
      <w:r w:rsidR="00721239" w:rsidRPr="00CE0232">
        <w:rPr>
          <w:rFonts w:eastAsia="Times New Roman" w:cstheme="minorHAnsi"/>
          <w:lang w:val="el-GR" w:eastAsia="en-GB"/>
        </w:rPr>
        <w:t xml:space="preserve"> (τέθηκε σε διαβούλευση τον Ιανουάριο του 2019)</w:t>
      </w:r>
      <w:r w:rsidRPr="00CE0232">
        <w:rPr>
          <w:rFonts w:eastAsia="Times New Roman" w:cstheme="minorHAnsi"/>
          <w:lang w:val="el-GR" w:eastAsia="en-GB"/>
        </w:rPr>
        <w:t xml:space="preserve">. </w:t>
      </w:r>
    </w:p>
    <w:p w:rsidR="0076437C" w:rsidRPr="00CE0232" w:rsidRDefault="00A95605" w:rsidP="00591E8E">
      <w:pPr>
        <w:shd w:val="clear" w:color="auto" w:fill="FFFFFF"/>
        <w:spacing w:before="100" w:beforeAutospacing="1" w:after="100" w:afterAutospacing="1" w:line="240" w:lineRule="auto"/>
        <w:ind w:right="14"/>
        <w:jc w:val="both"/>
        <w:rPr>
          <w:rFonts w:eastAsia="Times New Roman" w:cstheme="minorHAnsi"/>
          <w:b/>
          <w:lang w:val="el-GR" w:eastAsia="en-GB"/>
        </w:rPr>
      </w:pPr>
      <w:r w:rsidRPr="00CE0232">
        <w:rPr>
          <w:rFonts w:eastAsia="Times New Roman" w:cstheme="minorHAnsi"/>
          <w:b/>
          <w:lang w:val="el-GR" w:eastAsia="en-GB"/>
        </w:rPr>
        <w:t>Κλείνοντας την</w:t>
      </w:r>
      <w:r w:rsidR="00591E8E" w:rsidRPr="00CE0232">
        <w:rPr>
          <w:rFonts w:eastAsia="Times New Roman" w:cstheme="minorHAnsi"/>
          <w:b/>
          <w:lang w:val="el-GR" w:eastAsia="en-GB"/>
        </w:rPr>
        <w:t xml:space="preserve"> πρόταση</w:t>
      </w:r>
      <w:r w:rsidRPr="00CE0232">
        <w:rPr>
          <w:rFonts w:eastAsia="Times New Roman" w:cstheme="minorHAnsi"/>
          <w:b/>
          <w:lang w:val="el-GR" w:eastAsia="en-GB"/>
        </w:rPr>
        <w:t xml:space="preserve"> αυτή να </w:t>
      </w:r>
      <w:r w:rsidR="00591E8E" w:rsidRPr="00CE0232">
        <w:rPr>
          <w:rFonts w:eastAsia="Times New Roman" w:cstheme="minorHAnsi"/>
          <w:b/>
          <w:lang w:val="el-GR" w:eastAsia="en-GB"/>
        </w:rPr>
        <w:t xml:space="preserve">τονίσουμε τη </w:t>
      </w:r>
      <w:r w:rsidRPr="00CE0232">
        <w:rPr>
          <w:rFonts w:eastAsia="Times New Roman" w:cstheme="minorHAnsi"/>
          <w:b/>
          <w:lang w:val="el-GR" w:eastAsia="en-GB"/>
        </w:rPr>
        <w:t xml:space="preserve">θέση της </w:t>
      </w:r>
      <w:r w:rsidR="007608CF" w:rsidRPr="00CE0232">
        <w:rPr>
          <w:rFonts w:eastAsia="Times New Roman" w:cstheme="minorHAnsi"/>
          <w:b/>
          <w:lang w:val="el-GR" w:eastAsia="en-GB"/>
        </w:rPr>
        <w:t>παράταξης μας για Δημόσιο χαρακτήρα της διαχείρισης των απορριμμάτων</w:t>
      </w:r>
      <w:r w:rsidR="009D799E" w:rsidRPr="00CE0232">
        <w:rPr>
          <w:rFonts w:eastAsia="Times New Roman" w:cstheme="minorHAnsi"/>
          <w:b/>
          <w:lang w:val="el-GR" w:eastAsia="en-GB"/>
        </w:rPr>
        <w:t>,</w:t>
      </w:r>
      <w:r w:rsidR="007608CF" w:rsidRPr="00CE0232">
        <w:rPr>
          <w:rFonts w:eastAsia="Times New Roman" w:cstheme="minorHAnsi"/>
          <w:b/>
          <w:lang w:val="el-GR" w:eastAsia="en-GB"/>
        </w:rPr>
        <w:t xml:space="preserve"> </w:t>
      </w:r>
      <w:r w:rsidR="009D799E" w:rsidRPr="00CE0232">
        <w:rPr>
          <w:rFonts w:eastAsia="Times New Roman" w:cstheme="minorHAnsi"/>
          <w:b/>
          <w:lang w:val="el-GR" w:eastAsia="en-GB"/>
        </w:rPr>
        <w:t xml:space="preserve">τόσο </w:t>
      </w:r>
      <w:r w:rsidR="007608CF" w:rsidRPr="00CE0232">
        <w:rPr>
          <w:rFonts w:eastAsia="Times New Roman" w:cstheme="minorHAnsi"/>
          <w:b/>
          <w:lang w:val="el-GR" w:eastAsia="en-GB"/>
        </w:rPr>
        <w:t>σε επίπεδο Δήμου</w:t>
      </w:r>
      <w:r w:rsidR="009D799E" w:rsidRPr="00CE0232">
        <w:rPr>
          <w:rFonts w:eastAsia="Times New Roman" w:cstheme="minorHAnsi"/>
          <w:b/>
          <w:lang w:val="el-GR" w:eastAsia="en-GB"/>
        </w:rPr>
        <w:t xml:space="preserve">, όσο </w:t>
      </w:r>
      <w:r w:rsidR="007608CF" w:rsidRPr="00CE0232">
        <w:rPr>
          <w:rFonts w:eastAsia="Times New Roman" w:cstheme="minorHAnsi"/>
          <w:b/>
          <w:lang w:val="el-GR" w:eastAsia="en-GB"/>
        </w:rPr>
        <w:t xml:space="preserve"> και </w:t>
      </w:r>
      <w:r w:rsidR="009D799E" w:rsidRPr="00CE0232">
        <w:rPr>
          <w:rFonts w:eastAsia="Times New Roman" w:cstheme="minorHAnsi"/>
          <w:b/>
          <w:lang w:val="el-GR" w:eastAsia="en-GB"/>
        </w:rPr>
        <w:t xml:space="preserve">από την </w:t>
      </w:r>
      <w:r w:rsidR="007608CF" w:rsidRPr="00CE0232">
        <w:rPr>
          <w:rFonts w:eastAsia="Times New Roman" w:cstheme="minorHAnsi"/>
          <w:b/>
          <w:lang w:val="el-GR" w:eastAsia="en-GB"/>
        </w:rPr>
        <w:t xml:space="preserve">Περιφέρεια. ΣΔΙΤ και </w:t>
      </w:r>
      <w:r w:rsidR="004802FE" w:rsidRPr="00CE0232">
        <w:rPr>
          <w:rFonts w:eastAsia="Times New Roman" w:cstheme="minorHAnsi"/>
          <w:b/>
          <w:lang w:val="el-GR" w:eastAsia="en-GB"/>
        </w:rPr>
        <w:t xml:space="preserve">τα </w:t>
      </w:r>
      <w:r w:rsidR="009D799E" w:rsidRPr="00CE0232">
        <w:rPr>
          <w:rFonts w:eastAsia="Times New Roman" w:cstheme="minorHAnsi"/>
          <w:b/>
          <w:lang w:val="el-GR" w:eastAsia="en-GB"/>
        </w:rPr>
        <w:t xml:space="preserve">συναφή </w:t>
      </w:r>
      <w:r w:rsidR="007608CF" w:rsidRPr="00CE0232">
        <w:rPr>
          <w:rFonts w:eastAsia="Times New Roman" w:cstheme="minorHAnsi"/>
          <w:b/>
          <w:lang w:val="el-GR" w:eastAsia="en-GB"/>
        </w:rPr>
        <w:t xml:space="preserve"> δεν νοούνται στη διαχείριση των απορριμμάτων</w:t>
      </w:r>
      <w:r w:rsidR="009D799E" w:rsidRPr="00CE0232">
        <w:rPr>
          <w:rFonts w:eastAsia="Times New Roman" w:cstheme="minorHAnsi"/>
          <w:b/>
          <w:lang w:val="el-GR" w:eastAsia="en-GB"/>
        </w:rPr>
        <w:t>. Τ</w:t>
      </w:r>
      <w:r w:rsidR="004802FE" w:rsidRPr="00CE0232">
        <w:rPr>
          <w:rFonts w:eastAsia="Times New Roman" w:cstheme="minorHAnsi"/>
          <w:b/>
          <w:lang w:val="el-GR" w:eastAsia="en-GB"/>
        </w:rPr>
        <w:t>ο σίγουρο που εξασφαλίζουν είναι το κέρδος του Ιδιώτη</w:t>
      </w:r>
      <w:r w:rsidR="009D799E" w:rsidRPr="00CE0232">
        <w:rPr>
          <w:rFonts w:eastAsia="Times New Roman" w:cstheme="minorHAnsi"/>
          <w:b/>
          <w:lang w:val="el-GR" w:eastAsia="en-GB"/>
        </w:rPr>
        <w:t xml:space="preserve"> και την επιβάρυνση του Δημότη</w:t>
      </w:r>
      <w:r w:rsidR="007608CF" w:rsidRPr="00CE0232">
        <w:rPr>
          <w:rFonts w:eastAsia="Times New Roman" w:cstheme="minorHAnsi"/>
          <w:b/>
          <w:lang w:val="el-GR" w:eastAsia="en-GB"/>
        </w:rPr>
        <w:t>.</w:t>
      </w:r>
    </w:p>
    <w:p w:rsidR="009D799E" w:rsidRPr="00CE0232" w:rsidRDefault="00E93A80" w:rsidP="009A357A">
      <w:pPr>
        <w:spacing w:line="240" w:lineRule="atLeast"/>
        <w:jc w:val="both"/>
        <w:rPr>
          <w:rFonts w:cstheme="minorHAnsi"/>
          <w:b/>
          <w:lang w:val="el-GR"/>
        </w:rPr>
      </w:pPr>
      <w:r w:rsidRPr="00CE0232">
        <w:rPr>
          <w:rFonts w:cstheme="minorHAnsi"/>
          <w:b/>
          <w:lang w:val="el-GR"/>
        </w:rPr>
        <w:t>Χριστίνα Κιτσάκη</w:t>
      </w:r>
    </w:p>
    <w:p w:rsidR="009D799E" w:rsidRPr="00CE0232" w:rsidRDefault="009D799E" w:rsidP="009A357A">
      <w:pPr>
        <w:spacing w:line="240" w:lineRule="atLeast"/>
        <w:jc w:val="both"/>
        <w:rPr>
          <w:rFonts w:cstheme="minorHAnsi"/>
          <w:b/>
          <w:lang w:val="el-GR"/>
        </w:rPr>
      </w:pPr>
      <w:r w:rsidRPr="00CE0232">
        <w:rPr>
          <w:rFonts w:cstheme="minorHAnsi"/>
          <w:b/>
          <w:lang w:val="el-GR"/>
        </w:rPr>
        <w:t>τ. Επίκουρη Καθηγήτρια Γεωπονικού Πανεπιστημίου Αθην</w:t>
      </w:r>
      <w:r w:rsidR="008C5D02" w:rsidRPr="00CE0232">
        <w:rPr>
          <w:rFonts w:cstheme="minorHAnsi"/>
          <w:b/>
          <w:lang w:val="el-GR"/>
        </w:rPr>
        <w:t>ών</w:t>
      </w:r>
    </w:p>
    <w:p w:rsidR="005C77E3" w:rsidRDefault="00E93A80">
      <w:pPr>
        <w:spacing w:line="240" w:lineRule="atLeast"/>
        <w:jc w:val="both"/>
        <w:rPr>
          <w:rFonts w:cstheme="minorHAnsi"/>
          <w:b/>
          <w:lang w:val="de-DE"/>
        </w:rPr>
      </w:pPr>
      <w:r w:rsidRPr="00CE0232">
        <w:rPr>
          <w:rFonts w:cstheme="minorHAnsi"/>
          <w:b/>
          <w:lang w:val="el-GR"/>
        </w:rPr>
        <w:lastRenderedPageBreak/>
        <w:t>Τηλ</w:t>
      </w:r>
      <w:r w:rsidR="00591E8E" w:rsidRPr="00CE0232">
        <w:rPr>
          <w:rFonts w:cstheme="minorHAnsi"/>
          <w:b/>
          <w:lang w:val="de-DE"/>
        </w:rPr>
        <w:t>:</w:t>
      </w:r>
      <w:r w:rsidRPr="00CE0232">
        <w:rPr>
          <w:rFonts w:cstheme="minorHAnsi"/>
          <w:b/>
          <w:lang w:val="de-DE"/>
        </w:rPr>
        <w:t xml:space="preserve"> 6978892160</w:t>
      </w:r>
      <w:r w:rsidR="00591E8E" w:rsidRPr="00CE0232">
        <w:rPr>
          <w:rFonts w:cstheme="minorHAnsi"/>
          <w:b/>
          <w:lang w:val="de-DE"/>
        </w:rPr>
        <w:t xml:space="preserve">, </w:t>
      </w:r>
      <w:r w:rsidRPr="00CE0232">
        <w:rPr>
          <w:rFonts w:cstheme="minorHAnsi"/>
          <w:b/>
          <w:lang w:val="de-DE"/>
        </w:rPr>
        <w:t xml:space="preserve">e-mail: </w:t>
      </w:r>
      <w:hyperlink r:id="rId15" w:history="1">
        <w:r w:rsidR="007E7A46" w:rsidRPr="00F47120">
          <w:rPr>
            <w:rStyle w:val="-"/>
            <w:rFonts w:cstheme="minorHAnsi"/>
            <w:b/>
            <w:lang w:val="de-DE"/>
          </w:rPr>
          <w:t>ckits@aua.gr</w:t>
        </w:r>
      </w:hyperlink>
    </w:p>
    <w:p w:rsidR="007E7A46" w:rsidRPr="00CE0232" w:rsidRDefault="007E7A46">
      <w:pPr>
        <w:spacing w:line="240" w:lineRule="atLeast"/>
        <w:jc w:val="both"/>
        <w:rPr>
          <w:rFonts w:cstheme="minorHAnsi"/>
          <w:lang w:val="de-DE"/>
        </w:rPr>
      </w:pPr>
      <w:bookmarkStart w:id="0" w:name="_GoBack"/>
      <w:bookmarkEnd w:id="0"/>
    </w:p>
    <w:sectPr w:rsidR="007E7A46" w:rsidRPr="00CE0232" w:rsidSect="00551BC0">
      <w:headerReference w:type="default" r:id="rId1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BBF" w:rsidRDefault="001D4BBF" w:rsidP="005E5F11">
      <w:pPr>
        <w:spacing w:after="0" w:line="240" w:lineRule="auto"/>
      </w:pPr>
      <w:r>
        <w:separator/>
      </w:r>
    </w:p>
  </w:endnote>
  <w:endnote w:type="continuationSeparator" w:id="0">
    <w:p w:rsidR="001D4BBF" w:rsidRDefault="001D4BBF" w:rsidP="005E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rbel">
    <w:panose1 w:val="020B0503020204020204"/>
    <w:charset w:val="A1"/>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BBF" w:rsidRDefault="001D4BBF" w:rsidP="005E5F11">
      <w:pPr>
        <w:spacing w:after="0" w:line="240" w:lineRule="auto"/>
      </w:pPr>
      <w:r>
        <w:separator/>
      </w:r>
    </w:p>
  </w:footnote>
  <w:footnote w:type="continuationSeparator" w:id="0">
    <w:p w:rsidR="001D4BBF" w:rsidRDefault="001D4BBF" w:rsidP="005E5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744579"/>
      <w:docPartObj>
        <w:docPartGallery w:val="Page Numbers (Top of Page)"/>
        <w:docPartUnique/>
      </w:docPartObj>
    </w:sdtPr>
    <w:sdtEndPr>
      <w:rPr>
        <w:noProof/>
      </w:rPr>
    </w:sdtEndPr>
    <w:sdtContent>
      <w:p w:rsidR="00297484" w:rsidRDefault="00D406C7">
        <w:pPr>
          <w:pStyle w:val="a6"/>
          <w:jc w:val="right"/>
        </w:pPr>
        <w:r>
          <w:fldChar w:fldCharType="begin"/>
        </w:r>
        <w:r w:rsidR="00297484">
          <w:instrText xml:space="preserve"> PAGE   \* MERGEFORMAT </w:instrText>
        </w:r>
        <w:r>
          <w:fldChar w:fldCharType="separate"/>
        </w:r>
        <w:r w:rsidR="00AD0695">
          <w:rPr>
            <w:noProof/>
          </w:rPr>
          <w:t>2</w:t>
        </w:r>
        <w:r>
          <w:rPr>
            <w:noProof/>
          </w:rPr>
          <w:fldChar w:fldCharType="end"/>
        </w:r>
      </w:p>
    </w:sdtContent>
  </w:sdt>
  <w:p w:rsidR="00297484" w:rsidRDefault="002974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E4F"/>
    <w:multiLevelType w:val="hybridMultilevel"/>
    <w:tmpl w:val="191C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7100B"/>
    <w:multiLevelType w:val="hybridMultilevel"/>
    <w:tmpl w:val="85F81F26"/>
    <w:lvl w:ilvl="0" w:tplc="D16006D6">
      <w:start w:val="1"/>
      <w:numFmt w:val="decimal"/>
      <w:lvlText w:val="%1."/>
      <w:lvlJc w:val="left"/>
      <w:pPr>
        <w:ind w:left="720" w:hanging="360"/>
      </w:pPr>
      <w:rPr>
        <w:rFonts w:eastAsia="Corbe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9324A"/>
    <w:multiLevelType w:val="hybridMultilevel"/>
    <w:tmpl w:val="1B9479E0"/>
    <w:lvl w:ilvl="0" w:tplc="713EE7E0">
      <w:start w:val="1"/>
      <w:numFmt w:val="decimal"/>
      <w:lvlText w:val="%1."/>
      <w:lvlJc w:val="left"/>
      <w:pPr>
        <w:ind w:left="349" w:hanging="360"/>
      </w:pPr>
      <w:rPr>
        <w:rFonts w:hint="default"/>
        <w:b/>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nsid w:val="19256697"/>
    <w:multiLevelType w:val="hybridMultilevel"/>
    <w:tmpl w:val="02105ACA"/>
    <w:lvl w:ilvl="0" w:tplc="1D26A7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1196F"/>
    <w:multiLevelType w:val="hybridMultilevel"/>
    <w:tmpl w:val="D57A229E"/>
    <w:lvl w:ilvl="0" w:tplc="08090019">
      <w:start w:val="1"/>
      <w:numFmt w:val="lowerLetter"/>
      <w:lvlText w:val="%1."/>
      <w:lvlJc w:val="left"/>
      <w:pPr>
        <w:ind w:left="709" w:hanging="360"/>
      </w:pPr>
      <w:rPr>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
    <w:nsid w:val="2FFD2CDF"/>
    <w:multiLevelType w:val="multilevel"/>
    <w:tmpl w:val="6BB0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058AE"/>
    <w:multiLevelType w:val="hybridMultilevel"/>
    <w:tmpl w:val="C2421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B924C5"/>
    <w:multiLevelType w:val="hybridMultilevel"/>
    <w:tmpl w:val="DD56D9EA"/>
    <w:lvl w:ilvl="0" w:tplc="9CEC94C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DE19CD"/>
    <w:multiLevelType w:val="hybridMultilevel"/>
    <w:tmpl w:val="1F10E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E22F9D"/>
    <w:multiLevelType w:val="hybridMultilevel"/>
    <w:tmpl w:val="9E42B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55E88"/>
    <w:multiLevelType w:val="hybridMultilevel"/>
    <w:tmpl w:val="B54800B6"/>
    <w:lvl w:ilvl="0" w:tplc="B128CF56">
      <w:start w:val="1"/>
      <w:numFmt w:val="lowerLetter"/>
      <w:lvlText w:val="%1."/>
      <w:lvlJc w:val="left"/>
      <w:pPr>
        <w:ind w:left="1713" w:hanging="360"/>
      </w:pPr>
      <w:rPr>
        <w:rFonts w:ascii="Calibri" w:hAnsi="Calibri" w:cs="Calibri" w:hint="default"/>
        <w:color w:val="FF000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1">
    <w:nsid w:val="50B27212"/>
    <w:multiLevelType w:val="hybridMultilevel"/>
    <w:tmpl w:val="CB3A0634"/>
    <w:lvl w:ilvl="0" w:tplc="3E940C9A">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D13EDC"/>
    <w:multiLevelType w:val="hybridMultilevel"/>
    <w:tmpl w:val="92369422"/>
    <w:lvl w:ilvl="0" w:tplc="83E6B30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30739"/>
    <w:multiLevelType w:val="multilevel"/>
    <w:tmpl w:val="83A82270"/>
    <w:lvl w:ilvl="0">
      <w:start w:val="4"/>
      <w:numFmt w:val="decimal"/>
      <w:lvlText w:val="%1"/>
      <w:lvlJc w:val="left"/>
      <w:pPr>
        <w:ind w:left="686"/>
      </w:pPr>
      <w:rPr>
        <w:rFonts w:ascii="Calibri" w:eastAsia="Calibri" w:hAnsi="Calibri" w:cs="Calibri"/>
        <w:b/>
        <w:bCs/>
        <w:i w:val="0"/>
        <w:strike w:val="0"/>
        <w:dstrike w:val="0"/>
        <w:color w:val="FFFFFF"/>
        <w:sz w:val="36"/>
        <w:szCs w:val="36"/>
        <w:u w:val="none" w:color="000000"/>
        <w:bdr w:val="none" w:sz="0" w:space="0" w:color="auto"/>
        <w:shd w:val="clear" w:color="auto" w:fill="974706"/>
        <w:vertAlign w:val="baseline"/>
      </w:rPr>
    </w:lvl>
    <w:lvl w:ilvl="1">
      <w:start w:val="1"/>
      <w:numFmt w:val="decimal"/>
      <w:lvlText w:val="%1.%2"/>
      <w:lvlJc w:val="left"/>
      <w:pPr>
        <w:ind w:left="830"/>
      </w:pPr>
      <w:rPr>
        <w:rFonts w:ascii="Calibri" w:eastAsia="Calibri" w:hAnsi="Calibri" w:cs="Calibri"/>
        <w:b/>
        <w:bCs/>
        <w:i w:val="0"/>
        <w:strike w:val="0"/>
        <w:dstrike w:val="0"/>
        <w:color w:val="974706"/>
        <w:sz w:val="22"/>
        <w:szCs w:val="22"/>
        <w:u w:val="none" w:color="000000"/>
        <w:bdr w:val="none" w:sz="0" w:space="0" w:color="auto"/>
        <w:shd w:val="clear" w:color="auto" w:fill="auto"/>
        <w:vertAlign w:val="baseline"/>
      </w:rPr>
    </w:lvl>
    <w:lvl w:ilvl="2">
      <w:start w:val="1"/>
      <w:numFmt w:val="decimal"/>
      <w:lvlText w:val="%3."/>
      <w:lvlJc w:val="left"/>
      <w:pPr>
        <w:ind w:left="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5B743022"/>
    <w:multiLevelType w:val="hybridMultilevel"/>
    <w:tmpl w:val="7ED2E524"/>
    <w:lvl w:ilvl="0" w:tplc="89BA195A">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A8245F"/>
    <w:multiLevelType w:val="hybridMultilevel"/>
    <w:tmpl w:val="06A4FD2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6">
    <w:nsid w:val="67225CF6"/>
    <w:multiLevelType w:val="hybridMultilevel"/>
    <w:tmpl w:val="29CE16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F81310"/>
    <w:multiLevelType w:val="hybridMultilevel"/>
    <w:tmpl w:val="D408BD4A"/>
    <w:lvl w:ilvl="0" w:tplc="BFEE90E2">
      <w:start w:val="1"/>
      <w:numFmt w:val="decimal"/>
      <w:lvlText w:val="%1."/>
      <w:lvlJc w:val="left"/>
      <w:pPr>
        <w:ind w:left="786" w:hanging="360"/>
      </w:pPr>
      <w:rPr>
        <w:rFonts w:ascii="Calibri" w:hAnsi="Calibri" w:cs="Calibri" w:hint="default"/>
        <w:b/>
        <w:bCs/>
        <w:i w:val="0"/>
        <w:strike w:val="0"/>
        <w:dstrike w:val="0"/>
        <w:color w:val="FF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6F375D0A"/>
    <w:multiLevelType w:val="hybridMultilevel"/>
    <w:tmpl w:val="30966FEE"/>
    <w:lvl w:ilvl="0" w:tplc="89BA195A">
      <w:start w:val="1"/>
      <w:numFmt w:val="bullet"/>
      <w:lvlText w:val=""/>
      <w:lvlJc w:val="left"/>
      <w:pPr>
        <w:ind w:left="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0B680EE">
      <w:start w:val="1"/>
      <w:numFmt w:val="bullet"/>
      <w:lvlText w:val="o"/>
      <w:lvlJc w:val="left"/>
      <w:pPr>
        <w:ind w:left="1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980E3E">
      <w:start w:val="1"/>
      <w:numFmt w:val="bullet"/>
      <w:lvlText w:val="▪"/>
      <w:lvlJc w:val="left"/>
      <w:pPr>
        <w:ind w:left="21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3382066">
      <w:start w:val="1"/>
      <w:numFmt w:val="bullet"/>
      <w:lvlText w:val="•"/>
      <w:lvlJc w:val="left"/>
      <w:pPr>
        <w:ind w:left="29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E44F6A8">
      <w:start w:val="1"/>
      <w:numFmt w:val="bullet"/>
      <w:lvlText w:val="o"/>
      <w:lvlJc w:val="left"/>
      <w:pPr>
        <w:ind w:left="36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9AF33A">
      <w:start w:val="1"/>
      <w:numFmt w:val="bullet"/>
      <w:lvlText w:val="▪"/>
      <w:lvlJc w:val="left"/>
      <w:pPr>
        <w:ind w:left="43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0A0AF6">
      <w:start w:val="1"/>
      <w:numFmt w:val="bullet"/>
      <w:lvlText w:val="•"/>
      <w:lvlJc w:val="left"/>
      <w:pPr>
        <w:ind w:left="50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F7E39BC">
      <w:start w:val="1"/>
      <w:numFmt w:val="bullet"/>
      <w:lvlText w:val="o"/>
      <w:lvlJc w:val="left"/>
      <w:pPr>
        <w:ind w:left="57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20E6B2">
      <w:start w:val="1"/>
      <w:numFmt w:val="bullet"/>
      <w:lvlText w:val="▪"/>
      <w:lvlJc w:val="left"/>
      <w:pPr>
        <w:ind w:left="65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nsid w:val="78B74DD4"/>
    <w:multiLevelType w:val="hybridMultilevel"/>
    <w:tmpl w:val="1B921F46"/>
    <w:lvl w:ilvl="0" w:tplc="BC2C7F2C">
      <w:start w:val="1"/>
      <w:numFmt w:val="bullet"/>
      <w:lvlText w:val="•"/>
      <w:lvlJc w:val="left"/>
      <w:pPr>
        <w:ind w:left="70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0">
    <w:nsid w:val="7C900151"/>
    <w:multiLevelType w:val="hybridMultilevel"/>
    <w:tmpl w:val="6AAA80AA"/>
    <w:lvl w:ilvl="0" w:tplc="DB40EA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8A45E4"/>
    <w:multiLevelType w:val="hybridMultilevel"/>
    <w:tmpl w:val="882A454A"/>
    <w:lvl w:ilvl="0" w:tplc="A46EAEDE">
      <w:start w:val="1"/>
      <w:numFmt w:val="lowerLetter"/>
      <w:lvlText w:val="%1."/>
      <w:lvlJc w:val="left"/>
      <w:pPr>
        <w:ind w:left="502" w:hanging="360"/>
      </w:pPr>
      <w:rPr>
        <w:rFonts w:hint="default"/>
        <w:b w:val="0"/>
        <w:i w:val="0"/>
        <w:strike w:val="0"/>
        <w:dstrike w:val="0"/>
        <w:color w:val="000000" w:themeColor="text1"/>
        <w:sz w:val="20"/>
        <w:szCs w:val="20"/>
        <w:u w:val="none" w:color="000000"/>
        <w:vertAlign w:val="baseline"/>
      </w:rPr>
    </w:lvl>
    <w:lvl w:ilvl="1" w:tplc="08090019" w:tentative="1">
      <w:start w:val="1"/>
      <w:numFmt w:val="lowerLetter"/>
      <w:lvlText w:val="%2."/>
      <w:lvlJc w:val="left"/>
      <w:pPr>
        <w:ind w:left="884" w:hanging="360"/>
      </w:pPr>
    </w:lvl>
    <w:lvl w:ilvl="2" w:tplc="0809001B" w:tentative="1">
      <w:start w:val="1"/>
      <w:numFmt w:val="lowerRoman"/>
      <w:lvlText w:val="%3."/>
      <w:lvlJc w:val="right"/>
      <w:pPr>
        <w:ind w:left="1604" w:hanging="180"/>
      </w:pPr>
    </w:lvl>
    <w:lvl w:ilvl="3" w:tplc="0809000F" w:tentative="1">
      <w:start w:val="1"/>
      <w:numFmt w:val="decimal"/>
      <w:lvlText w:val="%4."/>
      <w:lvlJc w:val="left"/>
      <w:pPr>
        <w:ind w:left="2324" w:hanging="360"/>
      </w:pPr>
    </w:lvl>
    <w:lvl w:ilvl="4" w:tplc="08090019" w:tentative="1">
      <w:start w:val="1"/>
      <w:numFmt w:val="lowerLetter"/>
      <w:lvlText w:val="%5."/>
      <w:lvlJc w:val="left"/>
      <w:pPr>
        <w:ind w:left="3044" w:hanging="360"/>
      </w:pPr>
    </w:lvl>
    <w:lvl w:ilvl="5" w:tplc="0809001B" w:tentative="1">
      <w:start w:val="1"/>
      <w:numFmt w:val="lowerRoman"/>
      <w:lvlText w:val="%6."/>
      <w:lvlJc w:val="right"/>
      <w:pPr>
        <w:ind w:left="3764" w:hanging="180"/>
      </w:pPr>
    </w:lvl>
    <w:lvl w:ilvl="6" w:tplc="0809000F" w:tentative="1">
      <w:start w:val="1"/>
      <w:numFmt w:val="decimal"/>
      <w:lvlText w:val="%7."/>
      <w:lvlJc w:val="left"/>
      <w:pPr>
        <w:ind w:left="4484" w:hanging="360"/>
      </w:pPr>
    </w:lvl>
    <w:lvl w:ilvl="7" w:tplc="08090019" w:tentative="1">
      <w:start w:val="1"/>
      <w:numFmt w:val="lowerLetter"/>
      <w:lvlText w:val="%8."/>
      <w:lvlJc w:val="left"/>
      <w:pPr>
        <w:ind w:left="5204" w:hanging="360"/>
      </w:pPr>
    </w:lvl>
    <w:lvl w:ilvl="8" w:tplc="0809001B" w:tentative="1">
      <w:start w:val="1"/>
      <w:numFmt w:val="lowerRoman"/>
      <w:lvlText w:val="%9."/>
      <w:lvlJc w:val="right"/>
      <w:pPr>
        <w:ind w:left="5924" w:hanging="180"/>
      </w:pPr>
    </w:lvl>
  </w:abstractNum>
  <w:num w:numId="1">
    <w:abstractNumId w:val="11"/>
  </w:num>
  <w:num w:numId="2">
    <w:abstractNumId w:val="12"/>
  </w:num>
  <w:num w:numId="3">
    <w:abstractNumId w:val="10"/>
  </w:num>
  <w:num w:numId="4">
    <w:abstractNumId w:val="6"/>
  </w:num>
  <w:num w:numId="5">
    <w:abstractNumId w:val="8"/>
  </w:num>
  <w:num w:numId="6">
    <w:abstractNumId w:val="13"/>
  </w:num>
  <w:num w:numId="7">
    <w:abstractNumId w:val="15"/>
  </w:num>
  <w:num w:numId="8">
    <w:abstractNumId w:val="7"/>
  </w:num>
  <w:num w:numId="9">
    <w:abstractNumId w:val="3"/>
  </w:num>
  <w:num w:numId="10">
    <w:abstractNumId w:val="20"/>
  </w:num>
  <w:num w:numId="11">
    <w:abstractNumId w:val="19"/>
  </w:num>
  <w:num w:numId="12">
    <w:abstractNumId w:val="4"/>
  </w:num>
  <w:num w:numId="13">
    <w:abstractNumId w:val="21"/>
  </w:num>
  <w:num w:numId="14">
    <w:abstractNumId w:val="5"/>
  </w:num>
  <w:num w:numId="15">
    <w:abstractNumId w:val="18"/>
  </w:num>
  <w:num w:numId="16">
    <w:abstractNumId w:val="17"/>
  </w:num>
  <w:num w:numId="17">
    <w:abstractNumId w:val="16"/>
  </w:num>
  <w:num w:numId="18">
    <w:abstractNumId w:val="1"/>
  </w:num>
  <w:num w:numId="19">
    <w:abstractNumId w:val="2"/>
  </w:num>
  <w:num w:numId="20">
    <w:abstractNumId w:val="14"/>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6643"/>
    <w:rsid w:val="000103AC"/>
    <w:rsid w:val="00034276"/>
    <w:rsid w:val="00065701"/>
    <w:rsid w:val="0008105A"/>
    <w:rsid w:val="00091C66"/>
    <w:rsid w:val="000A09B8"/>
    <w:rsid w:val="000C35EE"/>
    <w:rsid w:val="000C535A"/>
    <w:rsid w:val="000D6CBF"/>
    <w:rsid w:val="000E043F"/>
    <w:rsid w:val="000E4B72"/>
    <w:rsid w:val="001024A4"/>
    <w:rsid w:val="001234CE"/>
    <w:rsid w:val="00150731"/>
    <w:rsid w:val="00170981"/>
    <w:rsid w:val="001921D4"/>
    <w:rsid w:val="001925CE"/>
    <w:rsid w:val="001A1D8C"/>
    <w:rsid w:val="001A7D94"/>
    <w:rsid w:val="001C59F7"/>
    <w:rsid w:val="001D4BBF"/>
    <w:rsid w:val="001F5E14"/>
    <w:rsid w:val="00297484"/>
    <w:rsid w:val="002B4552"/>
    <w:rsid w:val="002C2221"/>
    <w:rsid w:val="002E4FD6"/>
    <w:rsid w:val="003023D8"/>
    <w:rsid w:val="0032155C"/>
    <w:rsid w:val="00337094"/>
    <w:rsid w:val="00341237"/>
    <w:rsid w:val="00346F86"/>
    <w:rsid w:val="00366F4C"/>
    <w:rsid w:val="00377413"/>
    <w:rsid w:val="003809CB"/>
    <w:rsid w:val="00381528"/>
    <w:rsid w:val="003C3593"/>
    <w:rsid w:val="003C365F"/>
    <w:rsid w:val="003C692F"/>
    <w:rsid w:val="003D43CF"/>
    <w:rsid w:val="003E3266"/>
    <w:rsid w:val="003E3FFF"/>
    <w:rsid w:val="003E50A5"/>
    <w:rsid w:val="00412B4B"/>
    <w:rsid w:val="00443DF1"/>
    <w:rsid w:val="004802FE"/>
    <w:rsid w:val="00494497"/>
    <w:rsid w:val="004A24E4"/>
    <w:rsid w:val="004A4819"/>
    <w:rsid w:val="004C0B62"/>
    <w:rsid w:val="004F61EB"/>
    <w:rsid w:val="004F63AA"/>
    <w:rsid w:val="005005BF"/>
    <w:rsid w:val="00503711"/>
    <w:rsid w:val="00505B07"/>
    <w:rsid w:val="00522152"/>
    <w:rsid w:val="0054469A"/>
    <w:rsid w:val="00551BC0"/>
    <w:rsid w:val="00552548"/>
    <w:rsid w:val="005614CD"/>
    <w:rsid w:val="005771D3"/>
    <w:rsid w:val="00591E8E"/>
    <w:rsid w:val="0059236D"/>
    <w:rsid w:val="005C76F4"/>
    <w:rsid w:val="005C77E3"/>
    <w:rsid w:val="005D052A"/>
    <w:rsid w:val="005E5F11"/>
    <w:rsid w:val="005F3D1A"/>
    <w:rsid w:val="00603E00"/>
    <w:rsid w:val="0061001B"/>
    <w:rsid w:val="00616643"/>
    <w:rsid w:val="00622419"/>
    <w:rsid w:val="0063701A"/>
    <w:rsid w:val="006575C1"/>
    <w:rsid w:val="006624F2"/>
    <w:rsid w:val="00680258"/>
    <w:rsid w:val="00683D61"/>
    <w:rsid w:val="00697168"/>
    <w:rsid w:val="006E5C47"/>
    <w:rsid w:val="006F10DA"/>
    <w:rsid w:val="0070065A"/>
    <w:rsid w:val="00701B4B"/>
    <w:rsid w:val="0070793C"/>
    <w:rsid w:val="007107F2"/>
    <w:rsid w:val="00721239"/>
    <w:rsid w:val="00742174"/>
    <w:rsid w:val="007608CF"/>
    <w:rsid w:val="00762449"/>
    <w:rsid w:val="0076437C"/>
    <w:rsid w:val="007A2EAA"/>
    <w:rsid w:val="007B078F"/>
    <w:rsid w:val="007B5F64"/>
    <w:rsid w:val="007B60AF"/>
    <w:rsid w:val="007E7A46"/>
    <w:rsid w:val="007F571D"/>
    <w:rsid w:val="007F5E7F"/>
    <w:rsid w:val="00825731"/>
    <w:rsid w:val="008917BC"/>
    <w:rsid w:val="008B7972"/>
    <w:rsid w:val="008C5D02"/>
    <w:rsid w:val="008F5870"/>
    <w:rsid w:val="009358DB"/>
    <w:rsid w:val="00976F77"/>
    <w:rsid w:val="009851BC"/>
    <w:rsid w:val="0099310D"/>
    <w:rsid w:val="00996622"/>
    <w:rsid w:val="009A039D"/>
    <w:rsid w:val="009A357A"/>
    <w:rsid w:val="009B0B53"/>
    <w:rsid w:val="009C3AF0"/>
    <w:rsid w:val="009D0EE0"/>
    <w:rsid w:val="009D430F"/>
    <w:rsid w:val="009D799E"/>
    <w:rsid w:val="00A15726"/>
    <w:rsid w:val="00A57F37"/>
    <w:rsid w:val="00A9090B"/>
    <w:rsid w:val="00A95605"/>
    <w:rsid w:val="00A96993"/>
    <w:rsid w:val="00AB2718"/>
    <w:rsid w:val="00AD0695"/>
    <w:rsid w:val="00AF6EB2"/>
    <w:rsid w:val="00B07851"/>
    <w:rsid w:val="00B15B20"/>
    <w:rsid w:val="00B27669"/>
    <w:rsid w:val="00B37BD0"/>
    <w:rsid w:val="00B47A23"/>
    <w:rsid w:val="00B50BE1"/>
    <w:rsid w:val="00B94D77"/>
    <w:rsid w:val="00BA350F"/>
    <w:rsid w:val="00BB2295"/>
    <w:rsid w:val="00BE2E48"/>
    <w:rsid w:val="00BF4268"/>
    <w:rsid w:val="00C03045"/>
    <w:rsid w:val="00C35A70"/>
    <w:rsid w:val="00C85898"/>
    <w:rsid w:val="00CA2148"/>
    <w:rsid w:val="00CD3FAF"/>
    <w:rsid w:val="00CD7346"/>
    <w:rsid w:val="00CE0232"/>
    <w:rsid w:val="00CE5BBB"/>
    <w:rsid w:val="00CF7DF8"/>
    <w:rsid w:val="00D3239B"/>
    <w:rsid w:val="00D406C7"/>
    <w:rsid w:val="00D631B1"/>
    <w:rsid w:val="00D729C1"/>
    <w:rsid w:val="00D95C1A"/>
    <w:rsid w:val="00DF116B"/>
    <w:rsid w:val="00E001EA"/>
    <w:rsid w:val="00E00E16"/>
    <w:rsid w:val="00E07F1A"/>
    <w:rsid w:val="00E1345C"/>
    <w:rsid w:val="00E25E27"/>
    <w:rsid w:val="00E35C18"/>
    <w:rsid w:val="00E35CFC"/>
    <w:rsid w:val="00E72665"/>
    <w:rsid w:val="00E93A80"/>
    <w:rsid w:val="00EA2223"/>
    <w:rsid w:val="00EB07C2"/>
    <w:rsid w:val="00EC1D5C"/>
    <w:rsid w:val="00F0712A"/>
    <w:rsid w:val="00F363D0"/>
    <w:rsid w:val="00F4403E"/>
    <w:rsid w:val="00F63D54"/>
    <w:rsid w:val="00F86370"/>
    <w:rsid w:val="00FD1BC5"/>
    <w:rsid w:val="00FD26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643"/>
    <w:pPr>
      <w:ind w:left="720"/>
      <w:contextualSpacing/>
    </w:pPr>
  </w:style>
  <w:style w:type="character" w:styleId="-">
    <w:name w:val="Hyperlink"/>
    <w:basedOn w:val="a0"/>
    <w:uiPriority w:val="99"/>
    <w:unhideWhenUsed/>
    <w:rsid w:val="00616643"/>
    <w:rPr>
      <w:color w:val="0563C1" w:themeColor="hyperlink"/>
      <w:u w:val="single"/>
    </w:rPr>
  </w:style>
  <w:style w:type="table" w:styleId="a4">
    <w:name w:val="Table Grid"/>
    <w:basedOn w:val="a1"/>
    <w:uiPriority w:val="39"/>
    <w:rsid w:val="0061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4"/>
    <w:uiPriority w:val="39"/>
    <w:rsid w:val="00616643"/>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5E5F1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5E5F11"/>
    <w:rPr>
      <w:rFonts w:ascii="Segoe UI" w:hAnsi="Segoe UI" w:cs="Segoe UI"/>
      <w:sz w:val="18"/>
      <w:szCs w:val="18"/>
    </w:rPr>
  </w:style>
  <w:style w:type="paragraph" w:styleId="a6">
    <w:name w:val="header"/>
    <w:basedOn w:val="a"/>
    <w:link w:val="Char0"/>
    <w:uiPriority w:val="99"/>
    <w:unhideWhenUsed/>
    <w:rsid w:val="005E5F11"/>
    <w:pPr>
      <w:tabs>
        <w:tab w:val="center" w:pos="4153"/>
        <w:tab w:val="right" w:pos="8306"/>
      </w:tabs>
      <w:spacing w:after="0" w:line="240" w:lineRule="auto"/>
    </w:pPr>
  </w:style>
  <w:style w:type="character" w:customStyle="1" w:styleId="Char0">
    <w:name w:val="Κεφαλίδα Char"/>
    <w:basedOn w:val="a0"/>
    <w:link w:val="a6"/>
    <w:uiPriority w:val="99"/>
    <w:rsid w:val="005E5F11"/>
  </w:style>
  <w:style w:type="paragraph" w:styleId="a7">
    <w:name w:val="footer"/>
    <w:basedOn w:val="a"/>
    <w:link w:val="Char1"/>
    <w:uiPriority w:val="99"/>
    <w:unhideWhenUsed/>
    <w:rsid w:val="005E5F11"/>
    <w:pPr>
      <w:tabs>
        <w:tab w:val="center" w:pos="4153"/>
        <w:tab w:val="right" w:pos="8306"/>
      </w:tabs>
      <w:spacing w:after="0" w:line="240" w:lineRule="auto"/>
    </w:pPr>
  </w:style>
  <w:style w:type="character" w:customStyle="1" w:styleId="Char1">
    <w:name w:val="Υποσέλιδο Char"/>
    <w:basedOn w:val="a0"/>
    <w:link w:val="a7"/>
    <w:uiPriority w:val="99"/>
    <w:rsid w:val="005E5F11"/>
  </w:style>
  <w:style w:type="table" w:customStyle="1" w:styleId="TableGrid1">
    <w:name w:val="Table Grid1"/>
    <w:basedOn w:val="a1"/>
    <w:next w:val="a4"/>
    <w:uiPriority w:val="39"/>
    <w:rsid w:val="00B94D77"/>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E001EA"/>
    <w:rPr>
      <w:rFonts w:ascii="Times New Roman" w:hAnsi="Times New Roman" w:cs="Times New Roman"/>
      <w:sz w:val="24"/>
      <w:szCs w:val="24"/>
    </w:rPr>
  </w:style>
  <w:style w:type="paragraph" w:customStyle="1" w:styleId="footnotedescription">
    <w:name w:val="footnote description"/>
    <w:next w:val="a"/>
    <w:link w:val="footnotedescriptionChar"/>
    <w:hidden/>
    <w:rsid w:val="00D729C1"/>
    <w:pPr>
      <w:spacing w:after="0"/>
      <w:ind w:left="2"/>
    </w:pPr>
    <w:rPr>
      <w:rFonts w:ascii="Calibri" w:eastAsia="Calibri" w:hAnsi="Calibri" w:cs="Calibri"/>
      <w:i/>
      <w:color w:val="000000"/>
      <w:sz w:val="18"/>
      <w:lang w:eastAsia="en-GB"/>
    </w:rPr>
  </w:style>
  <w:style w:type="character" w:customStyle="1" w:styleId="footnotedescriptionChar">
    <w:name w:val="footnote description Char"/>
    <w:link w:val="footnotedescription"/>
    <w:rsid w:val="00D729C1"/>
    <w:rPr>
      <w:rFonts w:ascii="Calibri" w:eastAsia="Calibri" w:hAnsi="Calibri" w:cs="Calibri"/>
      <w:i/>
      <w:color w:val="000000"/>
      <w:sz w:val="18"/>
      <w:lang w:eastAsia="en-GB"/>
    </w:rPr>
  </w:style>
  <w:style w:type="paragraph" w:customStyle="1" w:styleId="Default">
    <w:name w:val="Default"/>
    <w:rsid w:val="00412B4B"/>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29748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7E7A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1197457">
      <w:bodyDiv w:val="1"/>
      <w:marLeft w:val="0"/>
      <w:marRight w:val="0"/>
      <w:marTop w:val="0"/>
      <w:marBottom w:val="0"/>
      <w:divBdr>
        <w:top w:val="none" w:sz="0" w:space="0" w:color="auto"/>
        <w:left w:val="none" w:sz="0" w:space="0" w:color="auto"/>
        <w:bottom w:val="none" w:sz="0" w:space="0" w:color="auto"/>
        <w:right w:val="none" w:sz="0" w:space="0" w:color="auto"/>
      </w:divBdr>
    </w:div>
    <w:div w:id="706224429">
      <w:bodyDiv w:val="1"/>
      <w:marLeft w:val="0"/>
      <w:marRight w:val="0"/>
      <w:marTop w:val="0"/>
      <w:marBottom w:val="0"/>
      <w:divBdr>
        <w:top w:val="none" w:sz="0" w:space="0" w:color="auto"/>
        <w:left w:val="none" w:sz="0" w:space="0" w:color="auto"/>
        <w:bottom w:val="none" w:sz="0" w:space="0" w:color="auto"/>
        <w:right w:val="none" w:sz="0" w:space="0" w:color="auto"/>
      </w:divBdr>
    </w:div>
    <w:div w:id="878860103">
      <w:bodyDiv w:val="1"/>
      <w:marLeft w:val="0"/>
      <w:marRight w:val="0"/>
      <w:marTop w:val="0"/>
      <w:marBottom w:val="0"/>
      <w:divBdr>
        <w:top w:val="none" w:sz="0" w:space="0" w:color="auto"/>
        <w:left w:val="none" w:sz="0" w:space="0" w:color="auto"/>
        <w:bottom w:val="none" w:sz="0" w:space="0" w:color="auto"/>
        <w:right w:val="none" w:sz="0" w:space="0" w:color="auto"/>
      </w:divBdr>
    </w:div>
    <w:div w:id="1130322570">
      <w:bodyDiv w:val="1"/>
      <w:marLeft w:val="0"/>
      <w:marRight w:val="0"/>
      <w:marTop w:val="0"/>
      <w:marBottom w:val="0"/>
      <w:divBdr>
        <w:top w:val="none" w:sz="0" w:space="0" w:color="auto"/>
        <w:left w:val="none" w:sz="0" w:space="0" w:color="auto"/>
        <w:bottom w:val="none" w:sz="0" w:space="0" w:color="auto"/>
        <w:right w:val="none" w:sz="0" w:space="0" w:color="auto"/>
      </w:divBdr>
      <w:divsChild>
        <w:div w:id="802311392">
          <w:marLeft w:val="0"/>
          <w:marRight w:val="0"/>
          <w:marTop w:val="0"/>
          <w:marBottom w:val="0"/>
          <w:divBdr>
            <w:top w:val="none" w:sz="0" w:space="0" w:color="auto"/>
            <w:left w:val="none" w:sz="0" w:space="0" w:color="auto"/>
            <w:bottom w:val="none" w:sz="0" w:space="0" w:color="auto"/>
            <w:right w:val="none" w:sz="0" w:space="0" w:color="auto"/>
          </w:divBdr>
          <w:divsChild>
            <w:div w:id="1539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4727">
      <w:bodyDiv w:val="1"/>
      <w:marLeft w:val="0"/>
      <w:marRight w:val="0"/>
      <w:marTop w:val="0"/>
      <w:marBottom w:val="0"/>
      <w:divBdr>
        <w:top w:val="none" w:sz="0" w:space="0" w:color="auto"/>
        <w:left w:val="none" w:sz="0" w:space="0" w:color="auto"/>
        <w:bottom w:val="none" w:sz="0" w:space="0" w:color="auto"/>
        <w:right w:val="none" w:sz="0" w:space="0" w:color="auto"/>
      </w:divBdr>
    </w:div>
    <w:div w:id="12399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lex.europa.eu/legal-content/AUTO/?uri=CELEX:32018L0850&amp;qid=1531925231219&amp;rid=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lex.europa.eu/legal-content/AUTO/?uri=CELEX:32018L0849&amp;qid=1531925231219&amp;ri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nologismiki.com/nomos/n_4042_12_11.php" TargetMode="External"/><Relationship Id="rId5" Type="http://schemas.openxmlformats.org/officeDocument/2006/relationships/footnotes" Target="footnotes.xml"/><Relationship Id="rId15" Type="http://schemas.openxmlformats.org/officeDocument/2006/relationships/hyperlink" Target="mailto:ckits@aua.gr" TargetMode="External"/><Relationship Id="rId10" Type="http://schemas.openxmlformats.org/officeDocument/2006/relationships/hyperlink" Target="https://www.technologismiki.com/nomos/n_4042_12.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ur-lex.europa.eu/legal-content/AUTO/?uri=CELEX:32018L0851&amp;qid=1531925231219&amp;r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2419</Words>
  <Characters>13067</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User</cp:lastModifiedBy>
  <cp:revision>2</cp:revision>
  <cp:lastPrinted>2019-04-07T15:27:00Z</cp:lastPrinted>
  <dcterms:created xsi:type="dcterms:W3CDTF">2019-05-07T09:44:00Z</dcterms:created>
  <dcterms:modified xsi:type="dcterms:W3CDTF">2019-05-07T09:44:00Z</dcterms:modified>
</cp:coreProperties>
</file>