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59" w:rsidRPr="004A2C10" w:rsidRDefault="004A2C10">
      <w:pPr>
        <w:pStyle w:val="normal"/>
        <w:jc w:val="center"/>
        <w:rPr>
          <w:rFonts w:asciiTheme="majorHAnsi" w:hAnsiTheme="majorHAnsi"/>
          <w:shadow/>
        </w:rPr>
      </w:pPr>
      <w:r w:rsidRPr="004A2C10">
        <w:rPr>
          <w:rFonts w:asciiTheme="majorHAnsi" w:hAnsiTheme="majorHAnsi"/>
          <w:shadow/>
          <w:noProof/>
          <w:lang w:val="el-GR"/>
        </w:rPr>
        <w:drawing>
          <wp:inline distT="114300" distB="114300" distL="114300" distR="114300">
            <wp:extent cx="2888737" cy="115045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srcRect/>
                    <a:stretch>
                      <a:fillRect/>
                    </a:stretch>
                  </pic:blipFill>
                  <pic:spPr>
                    <a:xfrm>
                      <a:off x="0" y="0"/>
                      <a:ext cx="2888737" cy="1150457"/>
                    </a:xfrm>
                    <a:prstGeom prst="rect">
                      <a:avLst/>
                    </a:prstGeom>
                    <a:ln/>
                  </pic:spPr>
                </pic:pic>
              </a:graphicData>
            </a:graphic>
          </wp:inline>
        </w:drawing>
      </w:r>
    </w:p>
    <w:p w:rsidR="00F61359" w:rsidRPr="004A2C10" w:rsidRDefault="004A2C10">
      <w:pPr>
        <w:pStyle w:val="normal"/>
        <w:spacing w:line="360" w:lineRule="auto"/>
        <w:jc w:val="center"/>
        <w:rPr>
          <w:rFonts w:asciiTheme="majorHAnsi" w:hAnsiTheme="majorHAnsi"/>
          <w:b/>
          <w:shadow/>
        </w:rPr>
      </w:pPr>
      <w:r w:rsidRPr="004A2C10">
        <w:rPr>
          <w:rFonts w:asciiTheme="majorHAnsi" w:hAnsiTheme="majorHAnsi"/>
          <w:b/>
          <w:shadow/>
        </w:rPr>
        <w:t>Ανάλυση</w:t>
      </w:r>
    </w:p>
    <w:p w:rsidR="00F61359" w:rsidRPr="004A2C10" w:rsidRDefault="004A2C10">
      <w:pPr>
        <w:pStyle w:val="normal"/>
        <w:spacing w:line="360" w:lineRule="auto"/>
        <w:jc w:val="center"/>
        <w:rPr>
          <w:rFonts w:asciiTheme="majorHAnsi" w:hAnsiTheme="majorHAnsi"/>
          <w:b/>
          <w:shadow/>
        </w:rPr>
      </w:pPr>
      <w:r w:rsidRPr="004A2C10">
        <w:rPr>
          <w:rFonts w:asciiTheme="majorHAnsi" w:hAnsiTheme="majorHAnsi"/>
          <w:b/>
          <w:shadow/>
        </w:rPr>
        <w:t xml:space="preserve">Το χθες και το σήμερα της καθαριότητας στο Δήμο Πεντέλης. </w:t>
      </w:r>
    </w:p>
    <w:p w:rsidR="00F61359" w:rsidRPr="004A2C10" w:rsidRDefault="004A2C10">
      <w:pPr>
        <w:pStyle w:val="normal"/>
        <w:spacing w:line="360" w:lineRule="auto"/>
        <w:jc w:val="center"/>
        <w:rPr>
          <w:rFonts w:asciiTheme="majorHAnsi" w:hAnsiTheme="majorHAnsi"/>
          <w:b/>
          <w:shadow/>
        </w:rPr>
      </w:pPr>
      <w:r w:rsidRPr="004A2C10">
        <w:rPr>
          <w:rFonts w:asciiTheme="majorHAnsi" w:hAnsiTheme="majorHAnsi"/>
          <w:b/>
          <w:shadow/>
        </w:rPr>
        <w:t>Το στοίχημα για το αύριο.</w:t>
      </w:r>
    </w:p>
    <w:p w:rsidR="00F61359" w:rsidRPr="004A2C10" w:rsidRDefault="004A2C10">
      <w:pPr>
        <w:pStyle w:val="normal"/>
        <w:spacing w:after="200" w:line="360" w:lineRule="auto"/>
        <w:jc w:val="both"/>
        <w:rPr>
          <w:rFonts w:asciiTheme="majorHAnsi" w:hAnsiTheme="majorHAnsi"/>
          <w:b/>
          <w:shadow/>
        </w:rPr>
      </w:pPr>
      <w:r w:rsidRPr="004A2C10">
        <w:rPr>
          <w:rFonts w:asciiTheme="majorHAnsi" w:hAnsiTheme="majorHAnsi"/>
          <w:shadow/>
        </w:rPr>
        <w:t>Είναι γνωστό ότι η καθαριότητα είναι ένας βασικός τομέας της σχέσης Δήμου και πολιτών, στον οποίο δίνεται μεγάλη έμφαση για τρεις σημαντικούς λόγους:</w:t>
      </w:r>
    </w:p>
    <w:p w:rsidR="00F61359" w:rsidRPr="004A2C10" w:rsidRDefault="004A2C10">
      <w:pPr>
        <w:pStyle w:val="normal"/>
        <w:numPr>
          <w:ilvl w:val="0"/>
          <w:numId w:val="1"/>
        </w:numPr>
        <w:spacing w:line="360" w:lineRule="auto"/>
        <w:jc w:val="both"/>
        <w:rPr>
          <w:rFonts w:asciiTheme="majorHAnsi" w:hAnsiTheme="majorHAnsi"/>
          <w:shadow/>
        </w:rPr>
      </w:pPr>
      <w:r w:rsidRPr="004A2C10">
        <w:rPr>
          <w:rFonts w:asciiTheme="majorHAnsi" w:hAnsiTheme="majorHAnsi"/>
          <w:b/>
          <w:shadow/>
        </w:rPr>
        <w:t xml:space="preserve">Πρώτον, </w:t>
      </w:r>
      <w:r w:rsidRPr="004A2C10">
        <w:rPr>
          <w:rFonts w:asciiTheme="majorHAnsi" w:hAnsiTheme="majorHAnsi"/>
          <w:shadow/>
        </w:rPr>
        <w:t xml:space="preserve">γιατί ο τομέας της καθαριότητας συνδέεται άμεσα με την εξασφάλιση ενός βιώσιμου και υγιούς περιβάλλοντος, λόγος ακόμα πιο σημαντικός στις μέρες μας μέσα στην  υγειονομική κρίση που όλοι βιώνουμε. </w:t>
      </w:r>
    </w:p>
    <w:p w:rsidR="00F61359" w:rsidRPr="004A2C10" w:rsidRDefault="004A2C10">
      <w:pPr>
        <w:pStyle w:val="normal"/>
        <w:numPr>
          <w:ilvl w:val="0"/>
          <w:numId w:val="1"/>
        </w:numPr>
        <w:spacing w:line="360" w:lineRule="auto"/>
        <w:jc w:val="both"/>
        <w:rPr>
          <w:rFonts w:asciiTheme="majorHAnsi" w:hAnsiTheme="majorHAnsi"/>
          <w:shadow/>
        </w:rPr>
      </w:pPr>
      <w:r w:rsidRPr="004A2C10">
        <w:rPr>
          <w:rFonts w:asciiTheme="majorHAnsi" w:hAnsiTheme="majorHAnsi"/>
          <w:b/>
          <w:shadow/>
        </w:rPr>
        <w:t>Δεύτερον,</w:t>
      </w:r>
      <w:r w:rsidRPr="004A2C10">
        <w:rPr>
          <w:rFonts w:asciiTheme="majorHAnsi" w:hAnsiTheme="majorHAnsi"/>
          <w:shadow/>
        </w:rPr>
        <w:t xml:space="preserve"> γιατί εδώ και πολλά χρόνια, οι πολίτες γνωρίζουν </w:t>
      </w:r>
      <w:r w:rsidRPr="004A2C10">
        <w:rPr>
          <w:rFonts w:asciiTheme="majorHAnsi" w:hAnsiTheme="majorHAnsi"/>
          <w:shadow/>
        </w:rPr>
        <w:t xml:space="preserve">ότι η καθαριότητα αποτελεί αποκλειστικό αντικείμενο της αυτοδιοίκησης και όχι κάποιου άλλου ανώτερου επιπέδου εξουσίας (όπως π.χ. η δικαιοσύνη, η παιδεία κτλ). </w:t>
      </w:r>
    </w:p>
    <w:p w:rsidR="00F61359" w:rsidRPr="004A2C10" w:rsidRDefault="004A2C10">
      <w:pPr>
        <w:pStyle w:val="normal"/>
        <w:numPr>
          <w:ilvl w:val="0"/>
          <w:numId w:val="1"/>
        </w:numPr>
        <w:spacing w:after="200" w:line="360" w:lineRule="auto"/>
        <w:jc w:val="both"/>
        <w:rPr>
          <w:rFonts w:asciiTheme="majorHAnsi" w:hAnsiTheme="majorHAnsi"/>
          <w:shadow/>
        </w:rPr>
      </w:pPr>
      <w:r w:rsidRPr="004A2C10">
        <w:rPr>
          <w:rFonts w:asciiTheme="majorHAnsi" w:hAnsiTheme="majorHAnsi"/>
          <w:b/>
          <w:shadow/>
        </w:rPr>
        <w:t>Τρίτον,</w:t>
      </w:r>
      <w:r w:rsidRPr="004A2C10">
        <w:rPr>
          <w:rFonts w:asciiTheme="majorHAnsi" w:hAnsiTheme="majorHAnsi"/>
          <w:shadow/>
        </w:rPr>
        <w:t xml:space="preserve"> γιατί ο συγκεκριμένος τομέας πληρώνεται απευθείας από τις τσέπες των πολιτών ΑΝΤΑΠΟΔΟΤΙ</w:t>
      </w:r>
      <w:r w:rsidRPr="004A2C10">
        <w:rPr>
          <w:rFonts w:asciiTheme="majorHAnsi" w:hAnsiTheme="majorHAnsi"/>
          <w:shadow/>
        </w:rPr>
        <w:t>ΚΑ, μέσω των τελών καθαριότητας και φωτισμού, τα οποία εισπράττονται από τους λογαριασμούς ηλεκτρικού ρεύματος. Τα έσοδα από τα συγκεκριμένα τέλη πρέπει να ισοσκελίζονται με τα έξοδα ενώ είναι σημαντικό να τονιστεί ότι</w:t>
      </w:r>
      <w:r w:rsidRPr="004A2C10">
        <w:rPr>
          <w:rFonts w:asciiTheme="majorHAnsi" w:hAnsiTheme="majorHAnsi"/>
          <w:b/>
          <w:shadow/>
        </w:rPr>
        <w:t xml:space="preserve"> η διάθεση των ανταποδοτικών εσόδων γι</w:t>
      </w:r>
      <w:r w:rsidRPr="004A2C10">
        <w:rPr>
          <w:rFonts w:asciiTheme="majorHAnsi" w:hAnsiTheme="majorHAnsi"/>
          <w:b/>
          <w:shadow/>
        </w:rPr>
        <w:t>α την κάλυψη άλλων δαπανών απαγορεύεται (άρθρο 86 Β.Δ. 24/9-20/10/1958).</w:t>
      </w:r>
    </w:p>
    <w:p w:rsidR="00F61359" w:rsidRPr="004A2C10" w:rsidRDefault="00F61359">
      <w:pPr>
        <w:pStyle w:val="normal"/>
        <w:spacing w:line="360" w:lineRule="auto"/>
        <w:jc w:val="both"/>
        <w:rPr>
          <w:rFonts w:asciiTheme="majorHAnsi" w:hAnsiTheme="majorHAnsi"/>
          <w:shadow/>
        </w:rPr>
      </w:pPr>
    </w:p>
    <w:p w:rsidR="00F61359" w:rsidRPr="004A2C10" w:rsidRDefault="004A2C10">
      <w:pPr>
        <w:pStyle w:val="normal"/>
        <w:spacing w:after="200" w:line="360" w:lineRule="auto"/>
        <w:jc w:val="both"/>
        <w:rPr>
          <w:rFonts w:asciiTheme="majorHAnsi" w:hAnsiTheme="majorHAnsi"/>
          <w:shadow/>
        </w:rPr>
      </w:pPr>
      <w:r w:rsidRPr="004A2C10">
        <w:rPr>
          <w:rFonts w:asciiTheme="majorHAnsi" w:hAnsiTheme="majorHAnsi"/>
          <w:shadow/>
        </w:rPr>
        <w:t>Είναι επίσης γνωστό ότι ο τομέας της καθαριότητας στο Δήμο Πεντέλης, τα τελευταία τέσσερα χρόνια, έφτασε στο ναδίρ. Κατά την προεκλογική περίοδο, η τότε διοίκηση προσπάθησε με πολλού</w:t>
      </w:r>
      <w:r w:rsidRPr="004A2C10">
        <w:rPr>
          <w:rFonts w:asciiTheme="majorHAnsi" w:hAnsiTheme="majorHAnsi"/>
          <w:shadow/>
        </w:rPr>
        <w:t>ς τρόπους να δικαιολογήσει τη συγκεκριμένη αδυναμία ενώ όλοι οι δημοτικοί συνδυασμοί έδωσαν έμφαση στον συγκεκριμένο τομέα, τονίζοντας την αναντιστοιχία των υψηλών δημοτικών τελών και της χαμηλής ποιότητας των παρεχόμενων υπηρεσιών.</w:t>
      </w:r>
    </w:p>
    <w:p w:rsidR="00F61359" w:rsidRPr="004A2C10" w:rsidRDefault="004A2C10">
      <w:pPr>
        <w:pStyle w:val="normal"/>
        <w:spacing w:after="200" w:line="360" w:lineRule="auto"/>
        <w:jc w:val="both"/>
        <w:rPr>
          <w:rFonts w:asciiTheme="majorHAnsi" w:hAnsiTheme="majorHAnsi"/>
          <w:b/>
          <w:shadow/>
        </w:rPr>
      </w:pPr>
      <w:r w:rsidRPr="004A2C10">
        <w:rPr>
          <w:rFonts w:asciiTheme="majorHAnsi" w:hAnsiTheme="majorHAnsi"/>
          <w:b/>
          <w:shadow/>
        </w:rPr>
        <w:t>Τελικά, για ποιους λόγο</w:t>
      </w:r>
      <w:r w:rsidRPr="004A2C10">
        <w:rPr>
          <w:rFonts w:asciiTheme="majorHAnsi" w:hAnsiTheme="majorHAnsi"/>
          <w:b/>
          <w:shadow/>
        </w:rPr>
        <w:t>υς οι πολίτες ενώ πληρώνουν πολλά για την καθαριότητα, δεν απολαμβάνουν μια καθαρή πόλη;</w:t>
      </w:r>
    </w:p>
    <w:p w:rsidR="00F61359" w:rsidRPr="004A2C10" w:rsidRDefault="004A2C10">
      <w:pPr>
        <w:pStyle w:val="normal"/>
        <w:spacing w:after="200" w:line="360" w:lineRule="auto"/>
        <w:jc w:val="both"/>
        <w:rPr>
          <w:rFonts w:asciiTheme="majorHAnsi" w:hAnsiTheme="majorHAnsi"/>
          <w:shadow/>
        </w:rPr>
      </w:pPr>
      <w:r w:rsidRPr="004A2C10">
        <w:rPr>
          <w:rFonts w:asciiTheme="majorHAnsi" w:hAnsiTheme="majorHAnsi"/>
          <w:shadow/>
        </w:rPr>
        <w:t>Έχει δοθεί, κατά καιρούς, πλήθος πιθανών απαντήσεων στο παραπάνω ερώτημα όπως η έλλειψη εξοπλισμού, η έλλειψη προσωπικού, η χαμηλή απόδοση της ανακύκλωσης, το κακό μον</w:t>
      </w:r>
      <w:r w:rsidRPr="004A2C10">
        <w:rPr>
          <w:rFonts w:asciiTheme="majorHAnsi" w:hAnsiTheme="majorHAnsi"/>
          <w:shadow/>
        </w:rPr>
        <w:t xml:space="preserve">τέλο διοίκησης, η έλλειψη σημείου μεταφόρτωσης, η έλλειψη σταθερού ή κινητού πράσινου σημείου κλπ. Για όλες τις παραπάνω πιθανές απαντήσεις, προαπαιτούμενο είναι  η επένδυση χρημάτων. </w:t>
      </w:r>
    </w:p>
    <w:p w:rsidR="00F61359" w:rsidRPr="004A2C10" w:rsidRDefault="004A2C10">
      <w:pPr>
        <w:pStyle w:val="normal"/>
        <w:spacing w:after="200" w:line="360" w:lineRule="auto"/>
        <w:jc w:val="both"/>
        <w:rPr>
          <w:rFonts w:asciiTheme="majorHAnsi" w:hAnsiTheme="majorHAnsi"/>
          <w:b/>
          <w:shadow/>
        </w:rPr>
      </w:pPr>
      <w:r w:rsidRPr="004A2C10">
        <w:rPr>
          <w:rFonts w:asciiTheme="majorHAnsi" w:hAnsiTheme="majorHAnsi"/>
          <w:b/>
          <w:shadow/>
        </w:rPr>
        <w:t xml:space="preserve">Θα μπορούσε κάποιος να ισχυριστεί ότι όλα τα παραπάνω δεν υλοποιήθηκαν </w:t>
      </w:r>
      <w:r w:rsidRPr="004A2C10">
        <w:rPr>
          <w:rFonts w:asciiTheme="majorHAnsi" w:hAnsiTheme="majorHAnsi"/>
          <w:b/>
          <w:shadow/>
        </w:rPr>
        <w:t>ή δεν μπορούσαν  να υλοποιηθούν γιατί δεν υπήρχαν τα χρήματα! ΕΙΝΑΙ ΟΜΩΣ ΠΡΑΓΜΑΤΙΚΑ ΕΤΣΙ;</w:t>
      </w:r>
    </w:p>
    <w:p w:rsidR="00F61359" w:rsidRPr="004A2C10" w:rsidRDefault="004A2C10">
      <w:pPr>
        <w:pStyle w:val="normal"/>
        <w:spacing w:after="200" w:line="360" w:lineRule="auto"/>
        <w:jc w:val="both"/>
        <w:rPr>
          <w:rFonts w:asciiTheme="majorHAnsi" w:hAnsiTheme="majorHAnsi"/>
          <w:shadow/>
        </w:rPr>
      </w:pPr>
      <w:r w:rsidRPr="004A2C10">
        <w:rPr>
          <w:rFonts w:asciiTheme="majorHAnsi" w:hAnsiTheme="majorHAnsi"/>
          <w:shadow/>
        </w:rPr>
        <w:lastRenderedPageBreak/>
        <w:t xml:space="preserve">Θα παραθέσω μια σειρά στοιχείων σχετικά με τα έσοδα και τα έξοδα των ανταποδοτικών τελών, κατά την περίοδο 2014 - 2019, με τους αντίστοιχους </w:t>
      </w:r>
      <w:proofErr w:type="spellStart"/>
      <w:r w:rsidRPr="004A2C10">
        <w:rPr>
          <w:rFonts w:asciiTheme="majorHAnsi" w:hAnsiTheme="majorHAnsi"/>
          <w:shadow/>
        </w:rPr>
        <w:t>υπερσυνδέσμους</w:t>
      </w:r>
      <w:proofErr w:type="spellEnd"/>
      <w:r w:rsidRPr="004A2C10">
        <w:rPr>
          <w:rFonts w:asciiTheme="majorHAnsi" w:hAnsiTheme="majorHAnsi"/>
          <w:shadow/>
        </w:rPr>
        <w:t xml:space="preserve"> (αναφέροντ</w:t>
      </w:r>
      <w:r w:rsidRPr="004A2C10">
        <w:rPr>
          <w:rFonts w:asciiTheme="majorHAnsi" w:hAnsiTheme="majorHAnsi"/>
          <w:shadow/>
        </w:rPr>
        <w:t>ας τους αντίστοιχους κωδικούς (Κ.Α.) στους ετήσιους προϋπολογισμούς), προκειμένου να μην υπάρχει η παραμικρή αμφισβήτηση.</w:t>
      </w:r>
    </w:p>
    <w:tbl>
      <w:tblPr>
        <w:tblStyle w:val="a5"/>
        <w:tblW w:w="9195" w:type="dxa"/>
        <w:tblInd w:w="-60" w:type="dxa"/>
        <w:tblBorders>
          <w:top w:val="nil"/>
          <w:left w:val="nil"/>
          <w:bottom w:val="nil"/>
          <w:right w:val="nil"/>
          <w:insideH w:val="nil"/>
          <w:insideV w:val="nil"/>
        </w:tblBorders>
        <w:tblLayout w:type="fixed"/>
        <w:tblLook w:val="0600"/>
      </w:tblPr>
      <w:tblGrid>
        <w:gridCol w:w="1470"/>
        <w:gridCol w:w="1545"/>
        <w:gridCol w:w="1830"/>
        <w:gridCol w:w="2025"/>
        <w:gridCol w:w="2325"/>
      </w:tblGrid>
      <w:tr w:rsidR="00F61359" w:rsidRPr="004A2C10">
        <w:trPr>
          <w:trHeight w:val="315"/>
        </w:trPr>
        <w:tc>
          <w:tcPr>
            <w:tcW w:w="9195" w:type="dxa"/>
            <w:gridSpan w:val="5"/>
            <w:tcBorders>
              <w:top w:val="single" w:sz="12" w:space="0" w:color="000000"/>
              <w:left w:val="single" w:sz="12" w:space="0" w:color="000000"/>
              <w:bottom w:val="single" w:sz="6" w:space="0" w:color="000000"/>
              <w:right w:val="single" w:sz="18"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 xml:space="preserve">ΕΣΟΔΑ </w:t>
            </w:r>
          </w:p>
          <w:p w:rsidR="00F61359" w:rsidRPr="004A2C10" w:rsidRDefault="004A2C10">
            <w:pPr>
              <w:pStyle w:val="normal"/>
              <w:widowControl w:val="0"/>
              <w:jc w:val="center"/>
              <w:rPr>
                <w:rFonts w:asciiTheme="majorHAnsi" w:hAnsiTheme="majorHAnsi"/>
                <w:shadow/>
              </w:rPr>
            </w:pPr>
            <w:r w:rsidRPr="004A2C10">
              <w:rPr>
                <w:rFonts w:asciiTheme="majorHAnsi" w:hAnsiTheme="majorHAnsi"/>
                <w:b/>
                <w:shadow/>
              </w:rPr>
              <w:t xml:space="preserve"> ΑΝΤΑΠΟΔΟΤΙΚΩΝ ΤΕΛΩΝ ΚΑΘΑΡΙΟΤΗΤΑΣ ΦΩΤΙΣΜΟΥ</w:t>
            </w:r>
          </w:p>
        </w:tc>
      </w:tr>
      <w:tr w:rsidR="00F61359" w:rsidRPr="004A2C10">
        <w:trPr>
          <w:trHeight w:val="315"/>
        </w:trPr>
        <w:tc>
          <w:tcPr>
            <w:tcW w:w="1470" w:type="dxa"/>
            <w:tcBorders>
              <w:top w:val="single" w:sz="6" w:space="0" w:color="CCCCCC"/>
              <w:left w:val="single" w:sz="12"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ΕΤΟΣ</w:t>
            </w:r>
          </w:p>
        </w:tc>
        <w:tc>
          <w:tcPr>
            <w:tcW w:w="154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Κ.Α.: 2111</w:t>
            </w:r>
          </w:p>
        </w:tc>
        <w:tc>
          <w:tcPr>
            <w:tcW w:w="183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Κ.Α.: 031</w:t>
            </w:r>
          </w:p>
        </w:tc>
        <w:tc>
          <w:tcPr>
            <w:tcW w:w="202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ΣΥΝΟΛΟ</w:t>
            </w:r>
          </w:p>
        </w:tc>
        <w:tc>
          <w:tcPr>
            <w:tcW w:w="2325" w:type="dxa"/>
            <w:tcBorders>
              <w:top w:val="single" w:sz="6" w:space="0" w:color="CCCCCC"/>
              <w:left w:val="single" w:sz="6" w:space="0" w:color="CCCCCC"/>
              <w:bottom w:val="single" w:sz="6" w:space="0" w:color="000000"/>
              <w:right w:val="single" w:sz="12"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ΑΔΑ</w:t>
            </w:r>
          </w:p>
        </w:tc>
      </w:tr>
      <w:tr w:rsidR="00F61359" w:rsidRPr="004A2C10">
        <w:trPr>
          <w:trHeight w:val="315"/>
        </w:trPr>
        <w:tc>
          <w:tcPr>
            <w:tcW w:w="1470" w:type="dxa"/>
            <w:tcBorders>
              <w:top w:val="single" w:sz="6" w:space="0" w:color="CCCCCC"/>
              <w:left w:val="single" w:sz="12"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2014</w:t>
            </w:r>
          </w:p>
        </w:tc>
        <w:tc>
          <w:tcPr>
            <w:tcW w:w="154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741.911,27 €</w:t>
            </w:r>
          </w:p>
        </w:tc>
        <w:tc>
          <w:tcPr>
            <w:tcW w:w="183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3.344.615,58 €</w:t>
            </w:r>
          </w:p>
        </w:tc>
        <w:tc>
          <w:tcPr>
            <w:tcW w:w="202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4.086.526,85 €</w:t>
            </w:r>
          </w:p>
        </w:tc>
        <w:tc>
          <w:tcPr>
            <w:tcW w:w="2325" w:type="dxa"/>
            <w:tcBorders>
              <w:top w:val="single" w:sz="6" w:space="0" w:color="CCCCCC"/>
              <w:left w:val="single" w:sz="6" w:space="0" w:color="CCCCCC"/>
              <w:bottom w:val="single" w:sz="6" w:space="0" w:color="000000"/>
              <w:right w:val="single" w:sz="12" w:space="0" w:color="000000"/>
            </w:tcBorders>
            <w:shd w:val="clear" w:color="auto" w:fill="FFF2CC"/>
            <w:tcMar>
              <w:top w:w="40" w:type="dxa"/>
              <w:left w:w="40" w:type="dxa"/>
              <w:bottom w:w="40" w:type="dxa"/>
              <w:right w:w="40" w:type="dxa"/>
            </w:tcMar>
            <w:vAlign w:val="bottom"/>
          </w:tcPr>
          <w:p w:rsidR="00F61359" w:rsidRPr="004A2C10" w:rsidRDefault="00F61359">
            <w:pPr>
              <w:pStyle w:val="normal"/>
              <w:widowControl w:val="0"/>
              <w:jc w:val="center"/>
              <w:rPr>
                <w:rFonts w:asciiTheme="majorHAnsi" w:hAnsiTheme="majorHAnsi"/>
                <w:shadow/>
                <w:u w:val="single"/>
              </w:rPr>
            </w:pPr>
            <w:hyperlink r:id="rId6">
              <w:r w:rsidR="004A2C10" w:rsidRPr="004A2C10">
                <w:rPr>
                  <w:rFonts w:asciiTheme="majorHAnsi" w:hAnsiTheme="majorHAnsi"/>
                  <w:shadow/>
                  <w:color w:val="1155CC"/>
                  <w:u w:val="single"/>
                </w:rPr>
                <w:t>7ΑΧ1ΩΞ3-8ΘΞ</w:t>
              </w:r>
            </w:hyperlink>
          </w:p>
        </w:tc>
      </w:tr>
      <w:tr w:rsidR="00F61359" w:rsidRPr="004A2C10">
        <w:trPr>
          <w:trHeight w:val="315"/>
        </w:trPr>
        <w:tc>
          <w:tcPr>
            <w:tcW w:w="1470" w:type="dxa"/>
            <w:tcBorders>
              <w:top w:val="single" w:sz="6" w:space="0" w:color="CCCCCC"/>
              <w:left w:val="single" w:sz="12"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2015</w:t>
            </w:r>
          </w:p>
        </w:tc>
        <w:tc>
          <w:tcPr>
            <w:tcW w:w="154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781.587,41 €</w:t>
            </w:r>
          </w:p>
        </w:tc>
        <w:tc>
          <w:tcPr>
            <w:tcW w:w="183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3.448.184,06 €</w:t>
            </w:r>
          </w:p>
        </w:tc>
        <w:tc>
          <w:tcPr>
            <w:tcW w:w="202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4.229.771,47 €</w:t>
            </w:r>
          </w:p>
        </w:tc>
        <w:tc>
          <w:tcPr>
            <w:tcW w:w="2325" w:type="dxa"/>
            <w:tcBorders>
              <w:top w:val="single" w:sz="6" w:space="0" w:color="CCCCCC"/>
              <w:left w:val="single" w:sz="6" w:space="0" w:color="CCCCCC"/>
              <w:bottom w:val="single" w:sz="6" w:space="0" w:color="000000"/>
              <w:right w:val="single" w:sz="12" w:space="0" w:color="000000"/>
            </w:tcBorders>
            <w:shd w:val="clear" w:color="auto" w:fill="FFF2CC"/>
            <w:tcMar>
              <w:top w:w="40" w:type="dxa"/>
              <w:left w:w="40" w:type="dxa"/>
              <w:bottom w:w="40" w:type="dxa"/>
              <w:right w:w="40" w:type="dxa"/>
            </w:tcMar>
            <w:vAlign w:val="bottom"/>
          </w:tcPr>
          <w:p w:rsidR="00F61359" w:rsidRPr="004A2C10" w:rsidRDefault="00F61359">
            <w:pPr>
              <w:pStyle w:val="normal"/>
              <w:widowControl w:val="0"/>
              <w:jc w:val="center"/>
              <w:rPr>
                <w:rFonts w:asciiTheme="majorHAnsi" w:hAnsiTheme="majorHAnsi"/>
                <w:shadow/>
                <w:u w:val="single"/>
              </w:rPr>
            </w:pPr>
            <w:hyperlink r:id="rId7">
              <w:r w:rsidR="004A2C10" w:rsidRPr="004A2C10">
                <w:rPr>
                  <w:rFonts w:asciiTheme="majorHAnsi" w:hAnsiTheme="majorHAnsi"/>
                  <w:shadow/>
                  <w:color w:val="1155CC"/>
                  <w:u w:val="single"/>
                </w:rPr>
                <w:t>6Η6ΩΩΞ3-ΡΡΞ</w:t>
              </w:r>
            </w:hyperlink>
          </w:p>
        </w:tc>
      </w:tr>
      <w:tr w:rsidR="00F61359" w:rsidRPr="004A2C10">
        <w:trPr>
          <w:trHeight w:val="315"/>
        </w:trPr>
        <w:tc>
          <w:tcPr>
            <w:tcW w:w="1470" w:type="dxa"/>
            <w:tcBorders>
              <w:top w:val="single" w:sz="6" w:space="0" w:color="CCCCCC"/>
              <w:left w:val="single" w:sz="12"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2016</w:t>
            </w:r>
          </w:p>
        </w:tc>
        <w:tc>
          <w:tcPr>
            <w:tcW w:w="154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836.235,99 €</w:t>
            </w:r>
          </w:p>
        </w:tc>
        <w:tc>
          <w:tcPr>
            <w:tcW w:w="183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3.577.487,74 €</w:t>
            </w:r>
          </w:p>
        </w:tc>
        <w:tc>
          <w:tcPr>
            <w:tcW w:w="202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4.413.723,73 €</w:t>
            </w:r>
          </w:p>
        </w:tc>
        <w:tc>
          <w:tcPr>
            <w:tcW w:w="2325" w:type="dxa"/>
            <w:tcBorders>
              <w:top w:val="single" w:sz="6" w:space="0" w:color="CCCCCC"/>
              <w:left w:val="single" w:sz="6" w:space="0" w:color="CCCCCC"/>
              <w:bottom w:val="single" w:sz="6" w:space="0" w:color="000000"/>
              <w:right w:val="single" w:sz="12" w:space="0" w:color="000000"/>
            </w:tcBorders>
            <w:shd w:val="clear" w:color="auto" w:fill="FFF2CC"/>
            <w:tcMar>
              <w:top w:w="40" w:type="dxa"/>
              <w:left w:w="40" w:type="dxa"/>
              <w:bottom w:w="40" w:type="dxa"/>
              <w:right w:w="40" w:type="dxa"/>
            </w:tcMar>
            <w:vAlign w:val="bottom"/>
          </w:tcPr>
          <w:p w:rsidR="00F61359" w:rsidRPr="004A2C10" w:rsidRDefault="00F61359">
            <w:pPr>
              <w:pStyle w:val="normal"/>
              <w:widowControl w:val="0"/>
              <w:jc w:val="center"/>
              <w:rPr>
                <w:rFonts w:asciiTheme="majorHAnsi" w:hAnsiTheme="majorHAnsi"/>
                <w:shadow/>
                <w:u w:val="single"/>
              </w:rPr>
            </w:pPr>
            <w:hyperlink r:id="rId8">
              <w:r w:rsidR="004A2C10" w:rsidRPr="004A2C10">
                <w:rPr>
                  <w:rFonts w:asciiTheme="majorHAnsi" w:hAnsiTheme="majorHAnsi"/>
                  <w:shadow/>
                  <w:color w:val="1155CC"/>
                  <w:u w:val="single"/>
                </w:rPr>
                <w:t>7Σ2ΒΩΞ3-407</w:t>
              </w:r>
            </w:hyperlink>
          </w:p>
        </w:tc>
      </w:tr>
      <w:tr w:rsidR="00F61359" w:rsidRPr="004A2C10">
        <w:trPr>
          <w:trHeight w:val="315"/>
        </w:trPr>
        <w:tc>
          <w:tcPr>
            <w:tcW w:w="1470" w:type="dxa"/>
            <w:tcBorders>
              <w:top w:val="single" w:sz="6" w:space="0" w:color="CCCCCC"/>
              <w:left w:val="single" w:sz="12"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2017</w:t>
            </w:r>
          </w:p>
        </w:tc>
        <w:tc>
          <w:tcPr>
            <w:tcW w:w="154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869.326,26 €</w:t>
            </w:r>
          </w:p>
        </w:tc>
        <w:tc>
          <w:tcPr>
            <w:tcW w:w="183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3.670.678,85 €</w:t>
            </w:r>
          </w:p>
        </w:tc>
        <w:tc>
          <w:tcPr>
            <w:tcW w:w="202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4.540.005,11 €</w:t>
            </w:r>
          </w:p>
        </w:tc>
        <w:tc>
          <w:tcPr>
            <w:tcW w:w="2325" w:type="dxa"/>
            <w:tcBorders>
              <w:top w:val="single" w:sz="6" w:space="0" w:color="CCCCCC"/>
              <w:left w:val="single" w:sz="6" w:space="0" w:color="CCCCCC"/>
              <w:bottom w:val="single" w:sz="6" w:space="0" w:color="000000"/>
              <w:right w:val="single" w:sz="12" w:space="0" w:color="000000"/>
            </w:tcBorders>
            <w:shd w:val="clear" w:color="auto" w:fill="FFF2CC"/>
            <w:tcMar>
              <w:top w:w="40" w:type="dxa"/>
              <w:left w:w="40" w:type="dxa"/>
              <w:bottom w:w="40" w:type="dxa"/>
              <w:right w:w="40" w:type="dxa"/>
            </w:tcMar>
            <w:vAlign w:val="bottom"/>
          </w:tcPr>
          <w:p w:rsidR="00F61359" w:rsidRPr="004A2C10" w:rsidRDefault="00F61359">
            <w:pPr>
              <w:pStyle w:val="normal"/>
              <w:widowControl w:val="0"/>
              <w:jc w:val="center"/>
              <w:rPr>
                <w:rFonts w:asciiTheme="majorHAnsi" w:hAnsiTheme="majorHAnsi"/>
                <w:shadow/>
                <w:u w:val="single"/>
              </w:rPr>
            </w:pPr>
            <w:hyperlink r:id="rId9">
              <w:r w:rsidR="004A2C10" w:rsidRPr="004A2C10">
                <w:rPr>
                  <w:rFonts w:asciiTheme="majorHAnsi" w:hAnsiTheme="majorHAnsi"/>
                  <w:shadow/>
                  <w:color w:val="1155CC"/>
                  <w:u w:val="single"/>
                </w:rPr>
                <w:t>62ΑΧΩΞ3</w:t>
              </w:r>
            </w:hyperlink>
            <w:hyperlink r:id="rId10">
              <w:r w:rsidR="004A2C10" w:rsidRPr="004A2C10">
                <w:rPr>
                  <w:rFonts w:asciiTheme="majorHAnsi" w:hAnsiTheme="majorHAnsi"/>
                  <w:shadow/>
                  <w:color w:val="1155CC"/>
                  <w:u w:val="single"/>
                </w:rPr>
                <w:t>-ΘΘΙ</w:t>
              </w:r>
            </w:hyperlink>
          </w:p>
        </w:tc>
      </w:tr>
      <w:tr w:rsidR="00F61359" w:rsidRPr="004A2C10">
        <w:trPr>
          <w:trHeight w:val="315"/>
        </w:trPr>
        <w:tc>
          <w:tcPr>
            <w:tcW w:w="1470" w:type="dxa"/>
            <w:tcBorders>
              <w:top w:val="single" w:sz="6" w:space="0" w:color="CCCCCC"/>
              <w:left w:val="single" w:sz="12"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2018</w:t>
            </w:r>
          </w:p>
        </w:tc>
        <w:tc>
          <w:tcPr>
            <w:tcW w:w="154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871.784,43 €</w:t>
            </w:r>
          </w:p>
        </w:tc>
        <w:tc>
          <w:tcPr>
            <w:tcW w:w="183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3.639.830,97 €</w:t>
            </w:r>
          </w:p>
        </w:tc>
        <w:tc>
          <w:tcPr>
            <w:tcW w:w="202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4.511.615,40 €</w:t>
            </w:r>
          </w:p>
        </w:tc>
        <w:tc>
          <w:tcPr>
            <w:tcW w:w="2325" w:type="dxa"/>
            <w:tcBorders>
              <w:top w:val="single" w:sz="6" w:space="0" w:color="CCCCCC"/>
              <w:left w:val="single" w:sz="6" w:space="0" w:color="CCCCCC"/>
              <w:bottom w:val="single" w:sz="6" w:space="0" w:color="000000"/>
              <w:right w:val="single" w:sz="12" w:space="0" w:color="000000"/>
            </w:tcBorders>
            <w:shd w:val="clear" w:color="auto" w:fill="FFF2CC"/>
            <w:tcMar>
              <w:top w:w="40" w:type="dxa"/>
              <w:left w:w="40" w:type="dxa"/>
              <w:bottom w:w="40" w:type="dxa"/>
              <w:right w:w="40" w:type="dxa"/>
            </w:tcMar>
            <w:vAlign w:val="bottom"/>
          </w:tcPr>
          <w:p w:rsidR="00F61359" w:rsidRPr="004A2C10" w:rsidRDefault="00F61359">
            <w:pPr>
              <w:pStyle w:val="normal"/>
              <w:widowControl w:val="0"/>
              <w:jc w:val="center"/>
              <w:rPr>
                <w:rFonts w:asciiTheme="majorHAnsi" w:hAnsiTheme="majorHAnsi"/>
                <w:shadow/>
                <w:u w:val="single"/>
              </w:rPr>
            </w:pPr>
            <w:hyperlink r:id="rId11">
              <w:r w:rsidR="004A2C10" w:rsidRPr="004A2C10">
                <w:rPr>
                  <w:rFonts w:asciiTheme="majorHAnsi" w:hAnsiTheme="majorHAnsi"/>
                  <w:shadow/>
                  <w:color w:val="1155CC"/>
                  <w:u w:val="single"/>
                </w:rPr>
                <w:t>Ω27ΔΩΞ3-</w:t>
              </w:r>
            </w:hyperlink>
            <w:hyperlink r:id="rId12">
              <w:r w:rsidR="004A2C10" w:rsidRPr="004A2C10">
                <w:rPr>
                  <w:rFonts w:asciiTheme="majorHAnsi" w:hAnsiTheme="majorHAnsi"/>
                  <w:shadow/>
                  <w:color w:val="1155CC"/>
                  <w:u w:val="single"/>
                </w:rPr>
                <w:t>6ΣΕ</w:t>
              </w:r>
            </w:hyperlink>
          </w:p>
        </w:tc>
      </w:tr>
      <w:tr w:rsidR="00F61359" w:rsidRPr="004A2C10">
        <w:trPr>
          <w:trHeight w:val="315"/>
        </w:trPr>
        <w:tc>
          <w:tcPr>
            <w:tcW w:w="1470" w:type="dxa"/>
            <w:tcBorders>
              <w:top w:val="single" w:sz="6" w:space="0" w:color="CCCCCC"/>
              <w:left w:val="single" w:sz="12" w:space="0" w:color="000000"/>
              <w:bottom w:val="single" w:sz="12"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2019</w:t>
            </w:r>
          </w:p>
        </w:tc>
        <w:tc>
          <w:tcPr>
            <w:tcW w:w="1545" w:type="dxa"/>
            <w:tcBorders>
              <w:top w:val="single" w:sz="6" w:space="0" w:color="CCCCCC"/>
              <w:left w:val="single" w:sz="6" w:space="0" w:color="CCCCCC"/>
              <w:bottom w:val="single" w:sz="12"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985.387,19 €</w:t>
            </w:r>
          </w:p>
        </w:tc>
        <w:tc>
          <w:tcPr>
            <w:tcW w:w="1830" w:type="dxa"/>
            <w:tcBorders>
              <w:top w:val="single" w:sz="6" w:space="0" w:color="CCCCCC"/>
              <w:left w:val="single" w:sz="6" w:space="0" w:color="CCCCCC"/>
              <w:bottom w:val="single" w:sz="12"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3.431.046,25 €</w:t>
            </w:r>
          </w:p>
        </w:tc>
        <w:tc>
          <w:tcPr>
            <w:tcW w:w="2025" w:type="dxa"/>
            <w:tcBorders>
              <w:top w:val="single" w:sz="6" w:space="0" w:color="CCCCCC"/>
              <w:left w:val="single" w:sz="6" w:space="0" w:color="CCCCCC"/>
              <w:bottom w:val="single" w:sz="12" w:space="0" w:color="000000"/>
              <w:right w:val="single" w:sz="6" w:space="0" w:color="000000"/>
            </w:tcBorders>
            <w:shd w:val="clear" w:color="auto" w:fill="FFF2CC"/>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4.416.433,44 €</w:t>
            </w:r>
          </w:p>
        </w:tc>
        <w:tc>
          <w:tcPr>
            <w:tcW w:w="2325" w:type="dxa"/>
            <w:tcBorders>
              <w:top w:val="single" w:sz="6" w:space="0" w:color="CCCCCC"/>
              <w:left w:val="single" w:sz="6" w:space="0" w:color="CCCCCC"/>
              <w:bottom w:val="single" w:sz="12" w:space="0" w:color="000000"/>
              <w:right w:val="single" w:sz="12" w:space="0" w:color="000000"/>
            </w:tcBorders>
            <w:shd w:val="clear" w:color="auto" w:fill="FFF2CC"/>
            <w:tcMar>
              <w:top w:w="40" w:type="dxa"/>
              <w:left w:w="40" w:type="dxa"/>
              <w:bottom w:w="40" w:type="dxa"/>
              <w:right w:w="40" w:type="dxa"/>
            </w:tcMar>
            <w:vAlign w:val="bottom"/>
          </w:tcPr>
          <w:p w:rsidR="00F61359" w:rsidRPr="004A2C10" w:rsidRDefault="00F61359">
            <w:pPr>
              <w:pStyle w:val="normal"/>
              <w:widowControl w:val="0"/>
              <w:jc w:val="center"/>
              <w:rPr>
                <w:rFonts w:asciiTheme="majorHAnsi" w:hAnsiTheme="majorHAnsi"/>
                <w:shadow/>
                <w:u w:val="single"/>
              </w:rPr>
            </w:pPr>
            <w:hyperlink r:id="rId13">
              <w:r w:rsidR="004A2C10" w:rsidRPr="004A2C10">
                <w:rPr>
                  <w:rFonts w:asciiTheme="majorHAnsi" w:hAnsiTheme="majorHAnsi"/>
                  <w:shadow/>
                  <w:color w:val="1155CC"/>
                  <w:u w:val="single"/>
                </w:rPr>
                <w:t>6Μ3ΔΩΞ3-ΔΥΡ</w:t>
              </w:r>
            </w:hyperlink>
          </w:p>
        </w:tc>
      </w:tr>
    </w:tbl>
    <w:p w:rsidR="00F61359" w:rsidRPr="004A2C10" w:rsidRDefault="00F61359">
      <w:pPr>
        <w:pStyle w:val="normal"/>
        <w:spacing w:after="200" w:line="360" w:lineRule="auto"/>
        <w:jc w:val="center"/>
        <w:rPr>
          <w:rFonts w:asciiTheme="majorHAnsi" w:hAnsiTheme="majorHAnsi"/>
          <w:shadow/>
        </w:rPr>
      </w:pPr>
    </w:p>
    <w:tbl>
      <w:tblPr>
        <w:tblStyle w:val="a6"/>
        <w:tblW w:w="9195" w:type="dxa"/>
        <w:tblInd w:w="-60" w:type="dxa"/>
        <w:tblBorders>
          <w:top w:val="nil"/>
          <w:left w:val="nil"/>
          <w:bottom w:val="nil"/>
          <w:right w:val="nil"/>
          <w:insideH w:val="nil"/>
          <w:insideV w:val="nil"/>
        </w:tblBorders>
        <w:tblLayout w:type="fixed"/>
        <w:tblLook w:val="0600"/>
      </w:tblPr>
      <w:tblGrid>
        <w:gridCol w:w="1500"/>
        <w:gridCol w:w="1500"/>
        <w:gridCol w:w="1845"/>
        <w:gridCol w:w="2085"/>
        <w:gridCol w:w="2265"/>
      </w:tblGrid>
      <w:tr w:rsidR="00F61359" w:rsidRPr="004A2C10">
        <w:trPr>
          <w:trHeight w:val="315"/>
        </w:trPr>
        <w:tc>
          <w:tcPr>
            <w:tcW w:w="9195" w:type="dxa"/>
            <w:gridSpan w:val="5"/>
            <w:tcBorders>
              <w:top w:val="single" w:sz="12" w:space="0" w:color="000000"/>
              <w:left w:val="single" w:sz="12"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ΕΞΟΔΑ</w:t>
            </w:r>
          </w:p>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ΑΝΤΑΠΟΔΟΤΙΚΩΝ ΤΕΛΩΝ ΚΑΘΑΡΙΟΤΗΤΑΣ ΦΩΤΙΣΜΟΥ</w:t>
            </w:r>
          </w:p>
        </w:tc>
      </w:tr>
      <w:tr w:rsidR="00F61359" w:rsidRPr="004A2C10">
        <w:trPr>
          <w:trHeight w:val="315"/>
        </w:trPr>
        <w:tc>
          <w:tcPr>
            <w:tcW w:w="1500" w:type="dxa"/>
            <w:tcBorders>
              <w:top w:val="single" w:sz="6" w:space="0" w:color="CCCCCC"/>
              <w:left w:val="single" w:sz="12"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ΕΤΟΣ</w:t>
            </w:r>
          </w:p>
        </w:tc>
        <w:tc>
          <w:tcPr>
            <w:tcW w:w="150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Κ.Α.: 20</w:t>
            </w:r>
          </w:p>
        </w:tc>
        <w:tc>
          <w:tcPr>
            <w:tcW w:w="184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Κ.Α.: 00-6151.001</w:t>
            </w:r>
          </w:p>
        </w:tc>
        <w:tc>
          <w:tcPr>
            <w:tcW w:w="208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ΣΥΝΟΛΟ</w:t>
            </w:r>
          </w:p>
        </w:tc>
        <w:tc>
          <w:tcPr>
            <w:tcW w:w="2265" w:type="dxa"/>
            <w:tcBorders>
              <w:top w:val="single" w:sz="6" w:space="0" w:color="CCCCCC"/>
              <w:left w:val="single" w:sz="6" w:space="0" w:color="CCCCCC"/>
              <w:bottom w:val="single" w:sz="6" w:space="0" w:color="000000"/>
              <w:right w:val="single" w:sz="12"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ΑΔΑ</w:t>
            </w:r>
          </w:p>
        </w:tc>
      </w:tr>
      <w:tr w:rsidR="00F61359" w:rsidRPr="004A2C10">
        <w:trPr>
          <w:trHeight w:val="315"/>
        </w:trPr>
        <w:tc>
          <w:tcPr>
            <w:tcW w:w="1500" w:type="dxa"/>
            <w:tcBorders>
              <w:top w:val="single" w:sz="6" w:space="0" w:color="CCCCCC"/>
              <w:left w:val="single" w:sz="12"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2014</w:t>
            </w:r>
          </w:p>
        </w:tc>
        <w:tc>
          <w:tcPr>
            <w:tcW w:w="150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3.629.862,65 €</w:t>
            </w:r>
          </w:p>
        </w:tc>
        <w:tc>
          <w:tcPr>
            <w:tcW w:w="184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145.000,00 €</w:t>
            </w:r>
          </w:p>
        </w:tc>
        <w:tc>
          <w:tcPr>
            <w:tcW w:w="208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3.774.862,65 €</w:t>
            </w:r>
          </w:p>
        </w:tc>
        <w:tc>
          <w:tcPr>
            <w:tcW w:w="2265" w:type="dxa"/>
            <w:tcBorders>
              <w:top w:val="single" w:sz="6" w:space="0" w:color="CCCCCC"/>
              <w:left w:val="single" w:sz="6" w:space="0" w:color="CCCCCC"/>
              <w:bottom w:val="single" w:sz="6" w:space="0" w:color="000000"/>
              <w:right w:val="single" w:sz="12" w:space="0" w:color="000000"/>
            </w:tcBorders>
            <w:shd w:val="clear" w:color="auto" w:fill="D9EAD3"/>
            <w:tcMar>
              <w:top w:w="40" w:type="dxa"/>
              <w:left w:w="40" w:type="dxa"/>
              <w:bottom w:w="40" w:type="dxa"/>
              <w:right w:w="40" w:type="dxa"/>
            </w:tcMar>
            <w:vAlign w:val="bottom"/>
          </w:tcPr>
          <w:p w:rsidR="00F61359" w:rsidRPr="004A2C10" w:rsidRDefault="00F61359">
            <w:pPr>
              <w:pStyle w:val="normal"/>
              <w:widowControl w:val="0"/>
              <w:jc w:val="center"/>
              <w:rPr>
                <w:rFonts w:asciiTheme="majorHAnsi" w:hAnsiTheme="majorHAnsi"/>
                <w:shadow/>
              </w:rPr>
            </w:pPr>
            <w:hyperlink r:id="rId14">
              <w:r w:rsidR="004A2C10" w:rsidRPr="004A2C10">
                <w:rPr>
                  <w:rFonts w:asciiTheme="majorHAnsi" w:hAnsiTheme="majorHAnsi"/>
                  <w:shadow/>
                  <w:color w:val="1155CC"/>
                  <w:u w:val="single"/>
                </w:rPr>
                <w:t>79Ε0ΩΞ3-667</w:t>
              </w:r>
            </w:hyperlink>
          </w:p>
        </w:tc>
      </w:tr>
      <w:tr w:rsidR="00F61359" w:rsidRPr="004A2C10">
        <w:trPr>
          <w:trHeight w:val="315"/>
        </w:trPr>
        <w:tc>
          <w:tcPr>
            <w:tcW w:w="1500" w:type="dxa"/>
            <w:tcBorders>
              <w:top w:val="single" w:sz="6" w:space="0" w:color="CCCCCC"/>
              <w:left w:val="single" w:sz="12"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2015</w:t>
            </w:r>
          </w:p>
        </w:tc>
        <w:tc>
          <w:tcPr>
            <w:tcW w:w="150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4.044.446,34 €</w:t>
            </w:r>
          </w:p>
        </w:tc>
        <w:tc>
          <w:tcPr>
            <w:tcW w:w="184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155.000,00 €</w:t>
            </w:r>
          </w:p>
        </w:tc>
        <w:tc>
          <w:tcPr>
            <w:tcW w:w="208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4.199.446,34 €</w:t>
            </w:r>
          </w:p>
        </w:tc>
        <w:tc>
          <w:tcPr>
            <w:tcW w:w="2265" w:type="dxa"/>
            <w:tcBorders>
              <w:top w:val="single" w:sz="6" w:space="0" w:color="CCCCCC"/>
              <w:left w:val="single" w:sz="6" w:space="0" w:color="CCCCCC"/>
              <w:bottom w:val="single" w:sz="6" w:space="0" w:color="000000"/>
              <w:right w:val="single" w:sz="12" w:space="0" w:color="000000"/>
            </w:tcBorders>
            <w:shd w:val="clear" w:color="auto" w:fill="D9EAD3"/>
            <w:tcMar>
              <w:top w:w="40" w:type="dxa"/>
              <w:left w:w="40" w:type="dxa"/>
              <w:bottom w:w="40" w:type="dxa"/>
              <w:right w:w="40" w:type="dxa"/>
            </w:tcMar>
            <w:vAlign w:val="bottom"/>
          </w:tcPr>
          <w:p w:rsidR="00F61359" w:rsidRPr="004A2C10" w:rsidRDefault="00F61359">
            <w:pPr>
              <w:pStyle w:val="normal"/>
              <w:widowControl w:val="0"/>
              <w:jc w:val="center"/>
              <w:rPr>
                <w:rFonts w:asciiTheme="majorHAnsi" w:hAnsiTheme="majorHAnsi"/>
                <w:shadow/>
              </w:rPr>
            </w:pPr>
            <w:hyperlink r:id="rId15">
              <w:r w:rsidR="004A2C10" w:rsidRPr="004A2C10">
                <w:rPr>
                  <w:rFonts w:asciiTheme="majorHAnsi" w:hAnsiTheme="majorHAnsi"/>
                  <w:shadow/>
                  <w:color w:val="1155CC"/>
                  <w:u w:val="single"/>
                </w:rPr>
                <w:t>7ΗΩ1ΩΞ3-ΧΛΛ</w:t>
              </w:r>
            </w:hyperlink>
          </w:p>
        </w:tc>
      </w:tr>
      <w:tr w:rsidR="00F61359" w:rsidRPr="004A2C10">
        <w:trPr>
          <w:trHeight w:val="315"/>
        </w:trPr>
        <w:tc>
          <w:tcPr>
            <w:tcW w:w="1500" w:type="dxa"/>
            <w:tcBorders>
              <w:top w:val="single" w:sz="6" w:space="0" w:color="CCCCCC"/>
              <w:left w:val="single" w:sz="12"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2016</w:t>
            </w:r>
          </w:p>
        </w:tc>
        <w:tc>
          <w:tcPr>
            <w:tcW w:w="150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3.761.379,07 €</w:t>
            </w:r>
          </w:p>
        </w:tc>
        <w:tc>
          <w:tcPr>
            <w:tcW w:w="184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151.171,63 €</w:t>
            </w:r>
          </w:p>
        </w:tc>
        <w:tc>
          <w:tcPr>
            <w:tcW w:w="208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3.912.550,70 €</w:t>
            </w:r>
          </w:p>
        </w:tc>
        <w:tc>
          <w:tcPr>
            <w:tcW w:w="2265" w:type="dxa"/>
            <w:tcBorders>
              <w:top w:val="single" w:sz="6" w:space="0" w:color="CCCCCC"/>
              <w:left w:val="single" w:sz="6" w:space="0" w:color="CCCCCC"/>
              <w:bottom w:val="single" w:sz="6" w:space="0" w:color="000000"/>
              <w:right w:val="single" w:sz="12" w:space="0" w:color="000000"/>
            </w:tcBorders>
            <w:shd w:val="clear" w:color="auto" w:fill="D9EAD3"/>
            <w:tcMar>
              <w:top w:w="40" w:type="dxa"/>
              <w:left w:w="40" w:type="dxa"/>
              <w:bottom w:w="40" w:type="dxa"/>
              <w:right w:w="40" w:type="dxa"/>
            </w:tcMar>
            <w:vAlign w:val="bottom"/>
          </w:tcPr>
          <w:p w:rsidR="00F61359" w:rsidRPr="004A2C10" w:rsidRDefault="00F61359">
            <w:pPr>
              <w:pStyle w:val="normal"/>
              <w:widowControl w:val="0"/>
              <w:jc w:val="center"/>
              <w:rPr>
                <w:rFonts w:asciiTheme="majorHAnsi" w:hAnsiTheme="majorHAnsi"/>
                <w:shadow/>
              </w:rPr>
            </w:pPr>
            <w:hyperlink r:id="rId16">
              <w:r w:rsidR="004A2C10" w:rsidRPr="004A2C10">
                <w:rPr>
                  <w:rFonts w:asciiTheme="majorHAnsi" w:hAnsiTheme="majorHAnsi"/>
                  <w:shadow/>
                  <w:color w:val="1155CC"/>
                  <w:u w:val="single"/>
                </w:rPr>
                <w:t>6ΟΗ4ΩΞ3-ΧΥ6</w:t>
              </w:r>
            </w:hyperlink>
          </w:p>
        </w:tc>
      </w:tr>
      <w:tr w:rsidR="00F61359" w:rsidRPr="004A2C10">
        <w:trPr>
          <w:trHeight w:val="315"/>
        </w:trPr>
        <w:tc>
          <w:tcPr>
            <w:tcW w:w="1500" w:type="dxa"/>
            <w:tcBorders>
              <w:top w:val="single" w:sz="6" w:space="0" w:color="CCCCCC"/>
              <w:left w:val="single" w:sz="12"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2017</w:t>
            </w:r>
          </w:p>
        </w:tc>
        <w:tc>
          <w:tcPr>
            <w:tcW w:w="150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3.508.071,41 €</w:t>
            </w:r>
          </w:p>
        </w:tc>
        <w:tc>
          <w:tcPr>
            <w:tcW w:w="184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152.544,46 €</w:t>
            </w:r>
          </w:p>
        </w:tc>
        <w:tc>
          <w:tcPr>
            <w:tcW w:w="208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3.660.615,87 €</w:t>
            </w:r>
          </w:p>
        </w:tc>
        <w:tc>
          <w:tcPr>
            <w:tcW w:w="2265" w:type="dxa"/>
            <w:tcBorders>
              <w:top w:val="single" w:sz="6" w:space="0" w:color="CCCCCC"/>
              <w:left w:val="single" w:sz="6" w:space="0" w:color="CCCCCC"/>
              <w:bottom w:val="single" w:sz="6" w:space="0" w:color="000000"/>
              <w:right w:val="single" w:sz="12" w:space="0" w:color="000000"/>
            </w:tcBorders>
            <w:shd w:val="clear" w:color="auto" w:fill="D9EAD3"/>
            <w:tcMar>
              <w:top w:w="40" w:type="dxa"/>
              <w:left w:w="40" w:type="dxa"/>
              <w:bottom w:w="40" w:type="dxa"/>
              <w:right w:w="40" w:type="dxa"/>
            </w:tcMar>
            <w:vAlign w:val="bottom"/>
          </w:tcPr>
          <w:p w:rsidR="00F61359" w:rsidRPr="004A2C10" w:rsidRDefault="00F61359">
            <w:pPr>
              <w:pStyle w:val="normal"/>
              <w:widowControl w:val="0"/>
              <w:jc w:val="center"/>
              <w:rPr>
                <w:rFonts w:asciiTheme="majorHAnsi" w:hAnsiTheme="majorHAnsi"/>
                <w:shadow/>
              </w:rPr>
            </w:pPr>
            <w:hyperlink r:id="rId17">
              <w:r w:rsidR="004A2C10" w:rsidRPr="004A2C10">
                <w:rPr>
                  <w:rFonts w:asciiTheme="majorHAnsi" w:hAnsiTheme="majorHAnsi"/>
                  <w:shadow/>
                  <w:color w:val="1155CC"/>
                  <w:u w:val="single"/>
                </w:rPr>
                <w:t>ΩΠΙ3ΩΞ3-Ξ21</w:t>
              </w:r>
            </w:hyperlink>
          </w:p>
        </w:tc>
      </w:tr>
      <w:tr w:rsidR="00F61359" w:rsidRPr="004A2C10">
        <w:trPr>
          <w:trHeight w:val="315"/>
        </w:trPr>
        <w:tc>
          <w:tcPr>
            <w:tcW w:w="1500" w:type="dxa"/>
            <w:tcBorders>
              <w:top w:val="single" w:sz="6" w:space="0" w:color="CCCCCC"/>
              <w:left w:val="single" w:sz="12"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2018</w:t>
            </w:r>
          </w:p>
        </w:tc>
        <w:tc>
          <w:tcPr>
            <w:tcW w:w="150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3.848.917,15 €</w:t>
            </w:r>
          </w:p>
        </w:tc>
        <w:tc>
          <w:tcPr>
            <w:tcW w:w="184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141.049,74 €</w:t>
            </w:r>
          </w:p>
        </w:tc>
        <w:tc>
          <w:tcPr>
            <w:tcW w:w="208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3.989.966,89 €</w:t>
            </w:r>
          </w:p>
        </w:tc>
        <w:tc>
          <w:tcPr>
            <w:tcW w:w="2265" w:type="dxa"/>
            <w:tcBorders>
              <w:top w:val="single" w:sz="6" w:space="0" w:color="CCCCCC"/>
              <w:left w:val="single" w:sz="6" w:space="0" w:color="CCCCCC"/>
              <w:bottom w:val="single" w:sz="6" w:space="0" w:color="000000"/>
              <w:right w:val="single" w:sz="12" w:space="0" w:color="000000"/>
            </w:tcBorders>
            <w:shd w:val="clear" w:color="auto" w:fill="D9EAD3"/>
            <w:tcMar>
              <w:top w:w="40" w:type="dxa"/>
              <w:left w:w="40" w:type="dxa"/>
              <w:bottom w:w="40" w:type="dxa"/>
              <w:right w:w="40" w:type="dxa"/>
            </w:tcMar>
            <w:vAlign w:val="bottom"/>
          </w:tcPr>
          <w:p w:rsidR="00F61359" w:rsidRPr="004A2C10" w:rsidRDefault="00F61359">
            <w:pPr>
              <w:pStyle w:val="normal"/>
              <w:widowControl w:val="0"/>
              <w:jc w:val="center"/>
              <w:rPr>
                <w:rFonts w:asciiTheme="majorHAnsi" w:hAnsiTheme="majorHAnsi"/>
                <w:shadow/>
              </w:rPr>
            </w:pPr>
            <w:hyperlink r:id="rId18">
              <w:r w:rsidR="004A2C10" w:rsidRPr="004A2C10">
                <w:rPr>
                  <w:rFonts w:asciiTheme="majorHAnsi" w:hAnsiTheme="majorHAnsi"/>
                  <w:shadow/>
                  <w:color w:val="1155CC"/>
                  <w:u w:val="single"/>
                </w:rPr>
                <w:t>7Ζ7ΦΩΞ3-8Δ1</w:t>
              </w:r>
            </w:hyperlink>
          </w:p>
        </w:tc>
      </w:tr>
      <w:tr w:rsidR="00F61359" w:rsidRPr="004A2C10">
        <w:trPr>
          <w:trHeight w:val="255"/>
        </w:trPr>
        <w:tc>
          <w:tcPr>
            <w:tcW w:w="1500" w:type="dxa"/>
            <w:tcBorders>
              <w:top w:val="single" w:sz="6" w:space="0" w:color="CCCCCC"/>
              <w:left w:val="single" w:sz="12" w:space="0" w:color="000000"/>
              <w:bottom w:val="single" w:sz="12"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2019</w:t>
            </w:r>
          </w:p>
        </w:tc>
        <w:tc>
          <w:tcPr>
            <w:tcW w:w="1500" w:type="dxa"/>
            <w:tcBorders>
              <w:top w:val="single" w:sz="6" w:space="0" w:color="CCCCCC"/>
              <w:left w:val="single" w:sz="6" w:space="0" w:color="CCCCCC"/>
              <w:bottom w:val="single" w:sz="12"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4.075.760,44 €</w:t>
            </w:r>
          </w:p>
        </w:tc>
        <w:tc>
          <w:tcPr>
            <w:tcW w:w="1845" w:type="dxa"/>
            <w:tcBorders>
              <w:top w:val="single" w:sz="6" w:space="0" w:color="CCCCCC"/>
              <w:left w:val="single" w:sz="6" w:space="0" w:color="CCCCCC"/>
              <w:bottom w:val="single" w:sz="12"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148.532,18 €</w:t>
            </w:r>
          </w:p>
        </w:tc>
        <w:tc>
          <w:tcPr>
            <w:tcW w:w="2085" w:type="dxa"/>
            <w:tcBorders>
              <w:top w:val="single" w:sz="6" w:space="0" w:color="CCCCCC"/>
              <w:left w:val="single" w:sz="6" w:space="0" w:color="CCCCCC"/>
              <w:bottom w:val="single" w:sz="12" w:space="0" w:color="000000"/>
              <w:right w:val="single" w:sz="6" w:space="0" w:color="000000"/>
            </w:tcBorders>
            <w:shd w:val="clear" w:color="auto" w:fill="D9EAD3"/>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4.224.292,62 €</w:t>
            </w:r>
          </w:p>
        </w:tc>
        <w:tc>
          <w:tcPr>
            <w:tcW w:w="2265" w:type="dxa"/>
            <w:tcBorders>
              <w:top w:val="single" w:sz="6" w:space="0" w:color="CCCCCC"/>
              <w:left w:val="single" w:sz="6" w:space="0" w:color="CCCCCC"/>
              <w:bottom w:val="single" w:sz="12" w:space="0" w:color="000000"/>
              <w:right w:val="single" w:sz="12" w:space="0" w:color="000000"/>
            </w:tcBorders>
            <w:shd w:val="clear" w:color="auto" w:fill="D9EAD3"/>
            <w:tcMar>
              <w:top w:w="40" w:type="dxa"/>
              <w:left w:w="40" w:type="dxa"/>
              <w:bottom w:w="40" w:type="dxa"/>
              <w:right w:w="40" w:type="dxa"/>
            </w:tcMar>
            <w:vAlign w:val="bottom"/>
          </w:tcPr>
          <w:p w:rsidR="00F61359" w:rsidRPr="004A2C10" w:rsidRDefault="00F61359">
            <w:pPr>
              <w:pStyle w:val="normal"/>
              <w:widowControl w:val="0"/>
              <w:jc w:val="center"/>
              <w:rPr>
                <w:rFonts w:asciiTheme="majorHAnsi" w:hAnsiTheme="majorHAnsi"/>
                <w:shadow/>
              </w:rPr>
            </w:pPr>
            <w:hyperlink r:id="rId19">
              <w:r w:rsidR="004A2C10" w:rsidRPr="004A2C10">
                <w:rPr>
                  <w:rFonts w:asciiTheme="majorHAnsi" w:hAnsiTheme="majorHAnsi"/>
                  <w:shadow/>
                  <w:color w:val="1155CC"/>
                  <w:u w:val="single"/>
                </w:rPr>
                <w:t>ΨΟΜΥΩΞ3-ΝΔΑ</w:t>
              </w:r>
            </w:hyperlink>
          </w:p>
        </w:tc>
      </w:tr>
    </w:tbl>
    <w:p w:rsidR="00F61359" w:rsidRPr="004A2C10" w:rsidRDefault="00F61359">
      <w:pPr>
        <w:pStyle w:val="normal"/>
        <w:spacing w:after="200" w:line="360" w:lineRule="auto"/>
        <w:rPr>
          <w:rFonts w:asciiTheme="majorHAnsi" w:hAnsiTheme="majorHAnsi"/>
          <w:shadow/>
        </w:rPr>
      </w:pPr>
    </w:p>
    <w:tbl>
      <w:tblPr>
        <w:tblStyle w:val="a7"/>
        <w:tblW w:w="7410" w:type="dxa"/>
        <w:tblInd w:w="-60" w:type="dxa"/>
        <w:tblBorders>
          <w:top w:val="nil"/>
          <w:left w:val="nil"/>
          <w:bottom w:val="nil"/>
          <w:right w:val="nil"/>
          <w:insideH w:val="nil"/>
          <w:insideV w:val="nil"/>
        </w:tblBorders>
        <w:tblLayout w:type="fixed"/>
        <w:tblLook w:val="0600"/>
      </w:tblPr>
      <w:tblGrid>
        <w:gridCol w:w="1590"/>
        <w:gridCol w:w="1575"/>
        <w:gridCol w:w="1770"/>
        <w:gridCol w:w="2475"/>
      </w:tblGrid>
      <w:tr w:rsidR="00F61359" w:rsidRPr="004A2C10">
        <w:trPr>
          <w:trHeight w:val="315"/>
        </w:trPr>
        <w:tc>
          <w:tcPr>
            <w:tcW w:w="7410" w:type="dxa"/>
            <w:gridSpan w:val="4"/>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ΣΥΓΚΕΝΤΡΩΤΙΚΟΣ ΠΙΝΑΚΑΣ</w:t>
            </w:r>
          </w:p>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ΑΝΤΑΠΟΔΟΤΙΚΩΝ ΤΕΛΩΝ ΚΑΘΑΡΙΟΤΗΤΑΣ ΦΩΤΙΣΜΟΥ ΔΗΜΟΥ ΠΕΝΤΕΛΗΣ</w:t>
            </w:r>
          </w:p>
        </w:tc>
      </w:tr>
      <w:tr w:rsidR="00F61359" w:rsidRPr="004A2C10">
        <w:trPr>
          <w:trHeight w:val="315"/>
        </w:trPr>
        <w:tc>
          <w:tcPr>
            <w:tcW w:w="1590" w:type="dxa"/>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ΕΤΟΣ</w:t>
            </w:r>
          </w:p>
        </w:tc>
        <w:tc>
          <w:tcPr>
            <w:tcW w:w="1575"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ΕΣΟΔΑ</w:t>
            </w:r>
          </w:p>
        </w:tc>
        <w:tc>
          <w:tcPr>
            <w:tcW w:w="1770"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ΔΑΠΑΝΕΣ</w:t>
            </w:r>
          </w:p>
        </w:tc>
        <w:tc>
          <w:tcPr>
            <w:tcW w:w="2475"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b/>
                <w:shadow/>
              </w:rPr>
            </w:pPr>
            <w:r w:rsidRPr="004A2C10">
              <w:rPr>
                <w:rFonts w:asciiTheme="majorHAnsi" w:hAnsiTheme="majorHAnsi"/>
                <w:b/>
                <w:shadow/>
              </w:rPr>
              <w:t>Διαφορά - Πλεόνασμα</w:t>
            </w:r>
          </w:p>
        </w:tc>
      </w:tr>
      <w:tr w:rsidR="00F61359" w:rsidRPr="004A2C10">
        <w:trPr>
          <w:trHeight w:val="315"/>
        </w:trPr>
        <w:tc>
          <w:tcPr>
            <w:tcW w:w="159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2014</w:t>
            </w:r>
          </w:p>
        </w:tc>
        <w:tc>
          <w:tcPr>
            <w:tcW w:w="157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4.086.526,85 €</w:t>
            </w:r>
          </w:p>
        </w:tc>
        <w:tc>
          <w:tcPr>
            <w:tcW w:w="177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3.774.862,65 €</w:t>
            </w:r>
          </w:p>
        </w:tc>
        <w:tc>
          <w:tcPr>
            <w:tcW w:w="247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311.664,20 €</w:t>
            </w:r>
          </w:p>
        </w:tc>
      </w:tr>
      <w:tr w:rsidR="00F61359" w:rsidRPr="004A2C10">
        <w:trPr>
          <w:trHeight w:val="315"/>
        </w:trPr>
        <w:tc>
          <w:tcPr>
            <w:tcW w:w="159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2015</w:t>
            </w:r>
          </w:p>
        </w:tc>
        <w:tc>
          <w:tcPr>
            <w:tcW w:w="157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4.229.771,47 €</w:t>
            </w:r>
          </w:p>
        </w:tc>
        <w:tc>
          <w:tcPr>
            <w:tcW w:w="177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4.199.446,34 €</w:t>
            </w:r>
          </w:p>
        </w:tc>
        <w:tc>
          <w:tcPr>
            <w:tcW w:w="247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30.325,13 €</w:t>
            </w:r>
          </w:p>
        </w:tc>
      </w:tr>
      <w:tr w:rsidR="00F61359" w:rsidRPr="004A2C10">
        <w:trPr>
          <w:trHeight w:val="315"/>
        </w:trPr>
        <w:tc>
          <w:tcPr>
            <w:tcW w:w="159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2016</w:t>
            </w:r>
          </w:p>
        </w:tc>
        <w:tc>
          <w:tcPr>
            <w:tcW w:w="157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4.413.723,73 €</w:t>
            </w:r>
          </w:p>
        </w:tc>
        <w:tc>
          <w:tcPr>
            <w:tcW w:w="177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3.912.550,70 €</w:t>
            </w:r>
          </w:p>
        </w:tc>
        <w:tc>
          <w:tcPr>
            <w:tcW w:w="247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501.173,03 €</w:t>
            </w:r>
          </w:p>
        </w:tc>
      </w:tr>
      <w:tr w:rsidR="00F61359" w:rsidRPr="004A2C10">
        <w:trPr>
          <w:trHeight w:val="315"/>
        </w:trPr>
        <w:tc>
          <w:tcPr>
            <w:tcW w:w="159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2017</w:t>
            </w:r>
          </w:p>
        </w:tc>
        <w:tc>
          <w:tcPr>
            <w:tcW w:w="157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4.540.005,11 €</w:t>
            </w:r>
          </w:p>
        </w:tc>
        <w:tc>
          <w:tcPr>
            <w:tcW w:w="177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3.660.615,87 €</w:t>
            </w:r>
          </w:p>
        </w:tc>
        <w:tc>
          <w:tcPr>
            <w:tcW w:w="247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879.389,24 €</w:t>
            </w:r>
          </w:p>
        </w:tc>
      </w:tr>
      <w:tr w:rsidR="00F61359" w:rsidRPr="004A2C10">
        <w:trPr>
          <w:trHeight w:val="315"/>
        </w:trPr>
        <w:tc>
          <w:tcPr>
            <w:tcW w:w="159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2018</w:t>
            </w:r>
          </w:p>
        </w:tc>
        <w:tc>
          <w:tcPr>
            <w:tcW w:w="157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4.511.615,40 €</w:t>
            </w:r>
          </w:p>
        </w:tc>
        <w:tc>
          <w:tcPr>
            <w:tcW w:w="177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3.989.966,89 €</w:t>
            </w:r>
          </w:p>
        </w:tc>
        <w:tc>
          <w:tcPr>
            <w:tcW w:w="247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521.648,51 €</w:t>
            </w:r>
          </w:p>
        </w:tc>
      </w:tr>
      <w:tr w:rsidR="00F61359" w:rsidRPr="004A2C10">
        <w:trPr>
          <w:trHeight w:val="315"/>
        </w:trPr>
        <w:tc>
          <w:tcPr>
            <w:tcW w:w="159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2019</w:t>
            </w:r>
          </w:p>
        </w:tc>
        <w:tc>
          <w:tcPr>
            <w:tcW w:w="157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4.416.433,44 €</w:t>
            </w:r>
          </w:p>
        </w:tc>
        <w:tc>
          <w:tcPr>
            <w:tcW w:w="177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4.224.292,62 €</w:t>
            </w:r>
          </w:p>
        </w:tc>
        <w:tc>
          <w:tcPr>
            <w:tcW w:w="247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192.140,82 €</w:t>
            </w:r>
          </w:p>
        </w:tc>
      </w:tr>
      <w:tr w:rsidR="00F61359" w:rsidRPr="004A2C10">
        <w:trPr>
          <w:trHeight w:val="360"/>
        </w:trPr>
        <w:tc>
          <w:tcPr>
            <w:tcW w:w="159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center"/>
              <w:rPr>
                <w:rFonts w:asciiTheme="majorHAnsi" w:hAnsiTheme="majorHAnsi"/>
                <w:shadow/>
              </w:rPr>
            </w:pPr>
            <w:r w:rsidRPr="004A2C10">
              <w:rPr>
                <w:rFonts w:asciiTheme="majorHAnsi" w:hAnsiTheme="majorHAnsi"/>
                <w:shadow/>
              </w:rPr>
              <w:t>ΣΥΝΟΛΟ</w:t>
            </w:r>
          </w:p>
        </w:tc>
        <w:tc>
          <w:tcPr>
            <w:tcW w:w="157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26.198.076,00 €</w:t>
            </w:r>
          </w:p>
        </w:tc>
        <w:tc>
          <w:tcPr>
            <w:tcW w:w="177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23.761.735,07 €</w:t>
            </w:r>
          </w:p>
        </w:tc>
        <w:tc>
          <w:tcPr>
            <w:tcW w:w="247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61359" w:rsidRPr="004A2C10" w:rsidRDefault="004A2C10">
            <w:pPr>
              <w:pStyle w:val="normal"/>
              <w:widowControl w:val="0"/>
              <w:jc w:val="right"/>
              <w:rPr>
                <w:rFonts w:asciiTheme="majorHAnsi" w:hAnsiTheme="majorHAnsi"/>
                <w:shadow/>
              </w:rPr>
            </w:pPr>
            <w:r w:rsidRPr="004A2C10">
              <w:rPr>
                <w:rFonts w:asciiTheme="majorHAnsi" w:hAnsiTheme="majorHAnsi"/>
                <w:shadow/>
              </w:rPr>
              <w:t>2.436.340,93 €</w:t>
            </w:r>
          </w:p>
        </w:tc>
      </w:tr>
    </w:tbl>
    <w:p w:rsidR="00F61359" w:rsidRPr="004A2C10" w:rsidRDefault="00F61359">
      <w:pPr>
        <w:pStyle w:val="normal"/>
        <w:spacing w:after="200" w:line="360" w:lineRule="auto"/>
        <w:jc w:val="both"/>
        <w:rPr>
          <w:rFonts w:asciiTheme="majorHAnsi" w:hAnsiTheme="majorHAnsi"/>
          <w:shadow/>
        </w:rPr>
      </w:pPr>
    </w:p>
    <w:p w:rsidR="00F61359" w:rsidRPr="004A2C10" w:rsidRDefault="004A2C10">
      <w:pPr>
        <w:pStyle w:val="normal"/>
        <w:spacing w:after="200" w:line="360" w:lineRule="auto"/>
        <w:jc w:val="both"/>
        <w:rPr>
          <w:rFonts w:asciiTheme="majorHAnsi" w:hAnsiTheme="majorHAnsi"/>
          <w:shadow/>
        </w:rPr>
      </w:pPr>
      <w:r w:rsidRPr="004A2C10">
        <w:rPr>
          <w:rFonts w:asciiTheme="majorHAnsi" w:hAnsiTheme="majorHAnsi"/>
          <w:shadow/>
        </w:rPr>
        <w:t>Με μια απλή ανάγνωση των παραπάνω, εύκολα συμπεραίνουμε ότι:</w:t>
      </w:r>
    </w:p>
    <w:p w:rsidR="00F61359" w:rsidRPr="004A2C10" w:rsidRDefault="004A2C10">
      <w:pPr>
        <w:pStyle w:val="normal"/>
        <w:numPr>
          <w:ilvl w:val="0"/>
          <w:numId w:val="3"/>
        </w:numPr>
        <w:spacing w:line="360" w:lineRule="auto"/>
        <w:jc w:val="both"/>
        <w:rPr>
          <w:rFonts w:asciiTheme="majorHAnsi" w:hAnsiTheme="majorHAnsi"/>
          <w:shadow/>
        </w:rPr>
      </w:pPr>
      <w:r w:rsidRPr="004A2C10">
        <w:rPr>
          <w:rFonts w:asciiTheme="majorHAnsi" w:hAnsiTheme="majorHAnsi"/>
          <w:shadow/>
        </w:rPr>
        <w:t xml:space="preserve">Ο τομέας της καθαριότητας εμφάνιζε </w:t>
      </w:r>
      <w:r w:rsidRPr="004A2C10">
        <w:rPr>
          <w:rFonts w:asciiTheme="majorHAnsi" w:hAnsiTheme="majorHAnsi"/>
          <w:b/>
          <w:shadow/>
        </w:rPr>
        <w:t>ΠΛΕΟΝΑΣΜΑ ΚΑΘΕ ΧΡΟΝΟ,</w:t>
      </w:r>
      <w:r w:rsidRPr="004A2C10">
        <w:rPr>
          <w:rFonts w:asciiTheme="majorHAnsi" w:hAnsiTheme="majorHAnsi"/>
          <w:shadow/>
        </w:rPr>
        <w:t xml:space="preserve"> κατά τα έτη 2014-2019. Ακόμα και κατά το έτος 2019, που τα δημοτικά τέλη είχαν μειωθεί κατά 10%, υπήρχε ετήσιο πλεόνασμα </w:t>
      </w:r>
      <w:r w:rsidRPr="004A2C10">
        <w:rPr>
          <w:rFonts w:asciiTheme="majorHAnsi" w:hAnsiTheme="majorHAnsi"/>
          <w:shadow/>
        </w:rPr>
        <w:lastRenderedPageBreak/>
        <w:t>192.140,82€. Με άλλα λόγια, από το 2015 υπήρχαν τα χρήματα ώστε να γίνουν οι αντίστοιχες επενδυτικές δαπάνες για τη βελτίωση της καθαρ</w:t>
      </w:r>
      <w:r w:rsidRPr="004A2C10">
        <w:rPr>
          <w:rFonts w:asciiTheme="majorHAnsi" w:hAnsiTheme="majorHAnsi"/>
          <w:shadow/>
        </w:rPr>
        <w:t>ιότητας!!</w:t>
      </w:r>
    </w:p>
    <w:p w:rsidR="00F61359" w:rsidRPr="004A2C10" w:rsidRDefault="004A2C10">
      <w:pPr>
        <w:pStyle w:val="normal"/>
        <w:numPr>
          <w:ilvl w:val="0"/>
          <w:numId w:val="3"/>
        </w:numPr>
        <w:spacing w:after="200" w:line="360" w:lineRule="auto"/>
        <w:jc w:val="both"/>
        <w:rPr>
          <w:rFonts w:asciiTheme="majorHAnsi" w:hAnsiTheme="majorHAnsi"/>
          <w:shadow/>
        </w:rPr>
      </w:pPr>
      <w:r w:rsidRPr="004A2C10">
        <w:rPr>
          <w:rFonts w:asciiTheme="majorHAnsi" w:hAnsiTheme="majorHAnsi"/>
          <w:shadow/>
        </w:rPr>
        <w:t xml:space="preserve">Το σύνολο του πλεονάσματος, κατά τα έτη 2014-2019, έφτασε τα 2.436.340,93 €!! Όλα αυτά τα χρήματα έπρεπε να επενδυθούν ΥΠΟΧΡΕΩΤΙΚΑ στην καθαριότητα αλλά δυστυχώς </w:t>
      </w:r>
      <w:r w:rsidRPr="004A2C10">
        <w:rPr>
          <w:rFonts w:asciiTheme="majorHAnsi" w:hAnsiTheme="majorHAnsi"/>
          <w:b/>
          <w:shadow/>
        </w:rPr>
        <w:t>υπήρχε ΑΝΤΙΘΕΤΗ ΠΟΛΙΤΙΚΗ ΒΟΥΛΗΣΗ. Αυτός, λοιπόν, είναι και ο βασικός λόγος που οι πο</w:t>
      </w:r>
      <w:r w:rsidRPr="004A2C10">
        <w:rPr>
          <w:rFonts w:asciiTheme="majorHAnsi" w:hAnsiTheme="majorHAnsi"/>
          <w:b/>
          <w:shadow/>
        </w:rPr>
        <w:t>λίτες ενώ πληρώνουν πολλά για την καθαριότητα, δεν απολαμβάνουν μια καθαρή πόλη.</w:t>
      </w:r>
    </w:p>
    <w:p w:rsidR="00F61359" w:rsidRPr="004A2C10" w:rsidRDefault="004A2C10">
      <w:pPr>
        <w:pStyle w:val="normal"/>
        <w:spacing w:line="360" w:lineRule="auto"/>
        <w:jc w:val="both"/>
        <w:rPr>
          <w:rFonts w:asciiTheme="majorHAnsi" w:hAnsiTheme="majorHAnsi"/>
          <w:shadow/>
        </w:rPr>
      </w:pPr>
      <w:r w:rsidRPr="004A2C10">
        <w:rPr>
          <w:rFonts w:asciiTheme="majorHAnsi" w:hAnsiTheme="majorHAnsi"/>
          <w:shadow/>
        </w:rPr>
        <w:t>Βάσει όλων των παραπάνω, ο απλός αναγνώστης θα μπορούσε να διατυπώσει δύο εύλογα ερωτήματα:</w:t>
      </w:r>
    </w:p>
    <w:p w:rsidR="00F61359" w:rsidRPr="004A2C10" w:rsidRDefault="004A2C10">
      <w:pPr>
        <w:pStyle w:val="normal"/>
        <w:spacing w:line="360" w:lineRule="auto"/>
        <w:jc w:val="both"/>
        <w:rPr>
          <w:rFonts w:asciiTheme="majorHAnsi" w:hAnsiTheme="majorHAnsi"/>
          <w:b/>
          <w:shadow/>
        </w:rPr>
      </w:pPr>
      <w:r w:rsidRPr="004A2C10">
        <w:rPr>
          <w:rFonts w:asciiTheme="majorHAnsi" w:hAnsiTheme="majorHAnsi"/>
          <w:b/>
          <w:shadow/>
        </w:rPr>
        <w:t xml:space="preserve">Ερώτηση 1η: Γιατί κ. </w:t>
      </w:r>
      <w:proofErr w:type="spellStart"/>
      <w:r w:rsidRPr="004A2C10">
        <w:rPr>
          <w:rFonts w:asciiTheme="majorHAnsi" w:hAnsiTheme="majorHAnsi"/>
          <w:b/>
          <w:shadow/>
        </w:rPr>
        <w:t>Παλαιοδήμο</w:t>
      </w:r>
      <w:proofErr w:type="spellEnd"/>
      <w:r w:rsidRPr="004A2C10">
        <w:rPr>
          <w:rFonts w:asciiTheme="majorHAnsi" w:hAnsiTheme="majorHAnsi"/>
          <w:b/>
          <w:shadow/>
        </w:rPr>
        <w:t xml:space="preserve"> αυτά δεν τα λέγατε νωρίτερα;</w:t>
      </w:r>
    </w:p>
    <w:p w:rsidR="00F61359" w:rsidRPr="004A2C10" w:rsidRDefault="004A2C10">
      <w:pPr>
        <w:pStyle w:val="normal"/>
        <w:spacing w:line="360" w:lineRule="auto"/>
        <w:jc w:val="both"/>
        <w:rPr>
          <w:rFonts w:asciiTheme="majorHAnsi" w:hAnsiTheme="majorHAnsi"/>
          <w:shadow/>
        </w:rPr>
      </w:pPr>
      <w:r w:rsidRPr="004A2C10">
        <w:rPr>
          <w:rFonts w:asciiTheme="majorHAnsi" w:hAnsiTheme="majorHAnsi"/>
          <w:b/>
          <w:shadow/>
        </w:rPr>
        <w:t xml:space="preserve">Απάντηση: </w:t>
      </w:r>
      <w:r w:rsidRPr="004A2C10">
        <w:rPr>
          <w:rFonts w:asciiTheme="majorHAnsi" w:hAnsiTheme="majorHAnsi"/>
          <w:shadow/>
        </w:rPr>
        <w:t>Για το συγκε</w:t>
      </w:r>
      <w:r w:rsidRPr="004A2C10">
        <w:rPr>
          <w:rFonts w:asciiTheme="majorHAnsi" w:hAnsiTheme="majorHAnsi"/>
          <w:shadow/>
        </w:rPr>
        <w:t>κριμένο θέμα, ως δημοτικός σύμβουλος συνεργαζόμενης παράταξης (Ανθρώπινη Πολιτεία), είχα εισηγηθεί σχετικά, τόσο δια ζώσης όσο και εγγράφως στον πρώην Δήμαρχο Δημήτρη Στεργίου. Και ενώ οι εισηγήσεις αυτές</w:t>
      </w:r>
      <w:r w:rsidRPr="004A2C10">
        <w:rPr>
          <w:rFonts w:asciiTheme="majorHAnsi" w:hAnsiTheme="majorHAnsi"/>
          <w:b/>
          <w:shadow/>
        </w:rPr>
        <w:t xml:space="preserve"> αρχικά είχαν γίνει αποδεκτές από τον πρώην Δήμαρχο</w:t>
      </w:r>
      <w:r w:rsidRPr="004A2C10">
        <w:rPr>
          <w:rFonts w:asciiTheme="majorHAnsi" w:hAnsiTheme="majorHAnsi"/>
          <w:shadow/>
        </w:rPr>
        <w:t>,</w:t>
      </w:r>
      <w:r w:rsidRPr="004A2C10">
        <w:rPr>
          <w:rFonts w:asciiTheme="majorHAnsi" w:hAnsiTheme="majorHAnsi"/>
          <w:shadow/>
        </w:rPr>
        <w:t xml:space="preserve"> σκόνταφταν στα εμπόδια που έθετε ο τότε Αντιδήμαρχος Οικονομικών και  σημερινός προσωρινός επικεφαλής της Δημοτικής Συμμαχίας. Η δημοσιοποίηση του θέματος έγινε με </w:t>
      </w:r>
      <w:hyperlink r:id="rId20">
        <w:r w:rsidRPr="004A2C10">
          <w:rPr>
            <w:rFonts w:asciiTheme="majorHAnsi" w:hAnsiTheme="majorHAnsi"/>
            <w:shadow/>
            <w:color w:val="1155CC"/>
            <w:u w:val="single"/>
          </w:rPr>
          <w:t>παρέμβασή μου, που συνυπογρ</w:t>
        </w:r>
        <w:r w:rsidRPr="004A2C10">
          <w:rPr>
            <w:rFonts w:asciiTheme="majorHAnsi" w:hAnsiTheme="majorHAnsi"/>
            <w:shadow/>
            <w:color w:val="1155CC"/>
            <w:u w:val="single"/>
          </w:rPr>
          <w:t xml:space="preserve">άφηκε από την κ. </w:t>
        </w:r>
        <w:proofErr w:type="spellStart"/>
        <w:r w:rsidRPr="004A2C10">
          <w:rPr>
            <w:rFonts w:asciiTheme="majorHAnsi" w:hAnsiTheme="majorHAnsi"/>
            <w:shadow/>
            <w:color w:val="1155CC"/>
            <w:u w:val="single"/>
          </w:rPr>
          <w:t>Άντα</w:t>
        </w:r>
        <w:proofErr w:type="spellEnd"/>
        <w:r w:rsidRPr="004A2C10">
          <w:rPr>
            <w:rFonts w:asciiTheme="majorHAnsi" w:hAnsiTheme="majorHAnsi"/>
            <w:shadow/>
            <w:color w:val="1155CC"/>
            <w:u w:val="single"/>
          </w:rPr>
          <w:t xml:space="preserve"> Μπούσουλα και την κ. Ευαγγελία </w:t>
        </w:r>
        <w:proofErr w:type="spellStart"/>
        <w:r w:rsidRPr="004A2C10">
          <w:rPr>
            <w:rFonts w:asciiTheme="majorHAnsi" w:hAnsiTheme="majorHAnsi"/>
            <w:shadow/>
            <w:color w:val="1155CC"/>
            <w:u w:val="single"/>
          </w:rPr>
          <w:t>Μπουσίου</w:t>
        </w:r>
        <w:proofErr w:type="spellEnd"/>
      </w:hyperlink>
      <w:r w:rsidRPr="004A2C10">
        <w:rPr>
          <w:rFonts w:asciiTheme="majorHAnsi" w:hAnsiTheme="majorHAnsi"/>
          <w:shadow/>
        </w:rPr>
        <w:t xml:space="preserve"> (15/11/2018</w:t>
      </w:r>
      <w:r w:rsidRPr="004A2C10">
        <w:rPr>
          <w:rFonts w:asciiTheme="majorHAnsi" w:hAnsiTheme="majorHAnsi"/>
          <w:shadow/>
          <w:color w:val="2F2E2E"/>
          <w:highlight w:val="white"/>
        </w:rPr>
        <w:t xml:space="preserve">), </w:t>
      </w:r>
      <w:r w:rsidRPr="004A2C10">
        <w:rPr>
          <w:rFonts w:asciiTheme="majorHAnsi" w:hAnsiTheme="majorHAnsi"/>
          <w:shadow/>
        </w:rPr>
        <w:t xml:space="preserve">κατά την ψήφιση του Προϋπολογισμού 2019 και η οποία </w:t>
      </w:r>
      <w:hyperlink r:id="rId21">
        <w:r w:rsidRPr="004A2C10">
          <w:rPr>
            <w:rFonts w:asciiTheme="majorHAnsi" w:hAnsiTheme="majorHAnsi"/>
            <w:shadow/>
            <w:color w:val="1155CC"/>
            <w:u w:val="single"/>
          </w:rPr>
          <w:t>δικαιώθηκε κατά τον έλεγχό του από την Αποκεντρωμένη Διοίκηση Αττι</w:t>
        </w:r>
        <w:r w:rsidRPr="004A2C10">
          <w:rPr>
            <w:rFonts w:asciiTheme="majorHAnsi" w:hAnsiTheme="majorHAnsi"/>
            <w:shadow/>
            <w:color w:val="1155CC"/>
            <w:u w:val="single"/>
          </w:rPr>
          <w:t>κής</w:t>
        </w:r>
      </w:hyperlink>
      <w:r w:rsidRPr="004A2C10">
        <w:rPr>
          <w:rFonts w:asciiTheme="majorHAnsi" w:hAnsiTheme="majorHAnsi"/>
          <w:shadow/>
        </w:rPr>
        <w:t xml:space="preserve"> (26/02/2019).</w:t>
      </w:r>
    </w:p>
    <w:p w:rsidR="00F61359" w:rsidRPr="004A2C10" w:rsidRDefault="00F61359">
      <w:pPr>
        <w:pStyle w:val="normal"/>
        <w:spacing w:line="360" w:lineRule="auto"/>
        <w:jc w:val="both"/>
        <w:rPr>
          <w:rFonts w:asciiTheme="majorHAnsi" w:hAnsiTheme="majorHAnsi"/>
          <w:b/>
          <w:shadow/>
        </w:rPr>
      </w:pPr>
    </w:p>
    <w:p w:rsidR="00F61359" w:rsidRPr="004A2C10" w:rsidRDefault="004A2C10">
      <w:pPr>
        <w:pStyle w:val="normal"/>
        <w:spacing w:line="360" w:lineRule="auto"/>
        <w:jc w:val="both"/>
        <w:rPr>
          <w:rFonts w:asciiTheme="majorHAnsi" w:hAnsiTheme="majorHAnsi"/>
          <w:b/>
          <w:shadow/>
        </w:rPr>
      </w:pPr>
      <w:r w:rsidRPr="004A2C10">
        <w:rPr>
          <w:rFonts w:asciiTheme="majorHAnsi" w:hAnsiTheme="majorHAnsi"/>
          <w:b/>
          <w:shadow/>
        </w:rPr>
        <w:t>Ερώτηση 2η: Όλα  τα χρήματα  του πλεονάσματος των ανταποδοτικών τελών (2.436.340,93 €) υπάρχουν ή δαπανήθηκαν αλλού;</w:t>
      </w:r>
    </w:p>
    <w:p w:rsidR="00F61359" w:rsidRPr="004A2C10" w:rsidRDefault="004A2C10">
      <w:pPr>
        <w:pStyle w:val="normal"/>
        <w:spacing w:line="360" w:lineRule="auto"/>
        <w:jc w:val="both"/>
        <w:rPr>
          <w:rFonts w:asciiTheme="majorHAnsi" w:hAnsiTheme="majorHAnsi"/>
          <w:b/>
          <w:shadow/>
        </w:rPr>
      </w:pPr>
      <w:r w:rsidRPr="004A2C10">
        <w:rPr>
          <w:rFonts w:asciiTheme="majorHAnsi" w:hAnsiTheme="majorHAnsi"/>
          <w:b/>
          <w:shadow/>
        </w:rPr>
        <w:t xml:space="preserve">Απάντηση: </w:t>
      </w:r>
      <w:r w:rsidRPr="004A2C10">
        <w:rPr>
          <w:rFonts w:asciiTheme="majorHAnsi" w:hAnsiTheme="majorHAnsi"/>
          <w:shadow/>
        </w:rPr>
        <w:t xml:space="preserve">Δεν θα απαντήσω προς το παρόν σε αυτή την ερώτηση και θα περιμένω πρώτα μια επίσημη απάντηση από την πλευρά της πρώην διοίκησης, έχοντας ως στόχο να ξεκινήσει, ενώπιον όλων, </w:t>
      </w:r>
      <w:r w:rsidRPr="004A2C10">
        <w:rPr>
          <w:rFonts w:asciiTheme="majorHAnsi" w:hAnsiTheme="majorHAnsi"/>
          <w:b/>
          <w:shadow/>
        </w:rPr>
        <w:t>ένας γόνιμος διάλογος για την πραγματική οικονομική κατάσταση του Δήμου Πεντέλης κ</w:t>
      </w:r>
      <w:r w:rsidRPr="004A2C10">
        <w:rPr>
          <w:rFonts w:asciiTheme="majorHAnsi" w:hAnsiTheme="majorHAnsi"/>
          <w:b/>
          <w:shadow/>
        </w:rPr>
        <w:t xml:space="preserve">αι το πραγματικό ταμειακό υπόλοιπο. </w:t>
      </w:r>
    </w:p>
    <w:p w:rsidR="00F61359" w:rsidRPr="004A2C10" w:rsidRDefault="00F61359">
      <w:pPr>
        <w:pStyle w:val="normal"/>
        <w:spacing w:line="360" w:lineRule="auto"/>
        <w:jc w:val="both"/>
        <w:rPr>
          <w:rFonts w:asciiTheme="majorHAnsi" w:hAnsiTheme="majorHAnsi"/>
          <w:shadow/>
        </w:rPr>
      </w:pPr>
    </w:p>
    <w:p w:rsidR="00F61359" w:rsidRPr="004A2C10" w:rsidRDefault="00F61359">
      <w:pPr>
        <w:pStyle w:val="normal"/>
        <w:spacing w:line="360" w:lineRule="auto"/>
        <w:rPr>
          <w:rFonts w:asciiTheme="majorHAnsi" w:hAnsiTheme="majorHAnsi"/>
          <w:b/>
          <w:shadow/>
        </w:rPr>
      </w:pPr>
    </w:p>
    <w:p w:rsidR="00F61359" w:rsidRPr="004A2C10" w:rsidRDefault="004A2C10">
      <w:pPr>
        <w:pStyle w:val="normal"/>
        <w:spacing w:line="360" w:lineRule="auto"/>
        <w:rPr>
          <w:rFonts w:asciiTheme="majorHAnsi" w:hAnsiTheme="majorHAnsi"/>
          <w:b/>
          <w:shadow/>
        </w:rPr>
      </w:pPr>
      <w:r w:rsidRPr="004A2C10">
        <w:rPr>
          <w:rFonts w:asciiTheme="majorHAnsi" w:hAnsiTheme="majorHAnsi"/>
          <w:b/>
          <w:shadow/>
        </w:rPr>
        <w:t>Το στοίχημα για το αύριο.</w:t>
      </w:r>
    </w:p>
    <w:p w:rsidR="00F61359" w:rsidRPr="004A2C10" w:rsidRDefault="004A2C10">
      <w:pPr>
        <w:pStyle w:val="normal"/>
        <w:spacing w:line="360" w:lineRule="auto"/>
        <w:jc w:val="both"/>
        <w:rPr>
          <w:rFonts w:asciiTheme="majorHAnsi" w:hAnsiTheme="majorHAnsi"/>
          <w:shadow/>
        </w:rPr>
      </w:pPr>
      <w:r w:rsidRPr="004A2C10">
        <w:rPr>
          <w:rFonts w:asciiTheme="majorHAnsi" w:hAnsiTheme="majorHAnsi"/>
          <w:b/>
          <w:shadow/>
        </w:rPr>
        <w:t>Η νέα διοίκηση του Δήμου Πεντέλης έχει αποφασίσει να κατευθύνει τους πόρους που προέρχονται από τα ανταποδοτικά τέλη, ΣΤΟ ΣΥΝΟΛΟ ΤΟΥΣ &amp; ΑΠΟΚΛΕΙΣΤΙΚΑ, για το σκοπό για τον οποίο εισπράχθηκαν κ</w:t>
      </w:r>
      <w:r w:rsidRPr="004A2C10">
        <w:rPr>
          <w:rFonts w:asciiTheme="majorHAnsi" w:hAnsiTheme="majorHAnsi"/>
          <w:b/>
          <w:shadow/>
        </w:rPr>
        <w:t xml:space="preserve">αι να διεκδικήσει δυναμικά ευρωπαϊκά και περιφερειακά κονδύλια. </w:t>
      </w:r>
      <w:r w:rsidRPr="004A2C10">
        <w:rPr>
          <w:rFonts w:asciiTheme="majorHAnsi" w:hAnsiTheme="majorHAnsi"/>
          <w:shadow/>
        </w:rPr>
        <w:t>Με βάση αυτή την απόφαση,</w:t>
      </w:r>
      <w:r w:rsidRPr="004A2C10">
        <w:rPr>
          <w:rFonts w:asciiTheme="majorHAnsi" w:hAnsiTheme="majorHAnsi"/>
          <w:b/>
          <w:shadow/>
        </w:rPr>
        <w:t xml:space="preserve"> </w:t>
      </w:r>
      <w:r w:rsidRPr="004A2C10">
        <w:rPr>
          <w:rFonts w:asciiTheme="majorHAnsi" w:hAnsiTheme="majorHAnsi"/>
          <w:shadow/>
        </w:rPr>
        <w:t xml:space="preserve">κινήθηκε προς δύο κατευθύνσεις.  </w:t>
      </w:r>
    </w:p>
    <w:p w:rsidR="00F61359" w:rsidRPr="004A2C10" w:rsidRDefault="004A2C10">
      <w:pPr>
        <w:pStyle w:val="normal"/>
        <w:spacing w:line="360" w:lineRule="auto"/>
        <w:jc w:val="both"/>
        <w:rPr>
          <w:rFonts w:asciiTheme="majorHAnsi" w:hAnsiTheme="majorHAnsi"/>
          <w:shadow/>
        </w:rPr>
      </w:pPr>
      <w:r w:rsidRPr="004A2C10">
        <w:rPr>
          <w:rFonts w:asciiTheme="majorHAnsi" w:hAnsiTheme="majorHAnsi"/>
          <w:b/>
          <w:shadow/>
        </w:rPr>
        <w:t>Πρώτον,</w:t>
      </w:r>
      <w:r w:rsidRPr="004A2C10">
        <w:rPr>
          <w:rFonts w:asciiTheme="majorHAnsi" w:hAnsiTheme="majorHAnsi"/>
          <w:shadow/>
        </w:rPr>
        <w:t xml:space="preserve"> προς την πραγματοποίηση δύο μεγάλων ανοικτών διεθνών ηλεκτρονικών διαγωνισμών, τριετών συμβάσεων, για:</w:t>
      </w:r>
    </w:p>
    <w:p w:rsidR="00F61359" w:rsidRPr="004A2C10" w:rsidRDefault="004A2C10">
      <w:pPr>
        <w:pStyle w:val="normal"/>
        <w:numPr>
          <w:ilvl w:val="0"/>
          <w:numId w:val="4"/>
        </w:numPr>
        <w:spacing w:line="360" w:lineRule="auto"/>
        <w:jc w:val="both"/>
        <w:rPr>
          <w:rFonts w:asciiTheme="majorHAnsi" w:hAnsiTheme="majorHAnsi"/>
          <w:shadow/>
        </w:rPr>
      </w:pPr>
      <w:r w:rsidRPr="004A2C10">
        <w:rPr>
          <w:rFonts w:asciiTheme="majorHAnsi" w:hAnsiTheme="majorHAnsi"/>
          <w:shadow/>
        </w:rPr>
        <w:t>τη διαχείριση ογκωδών</w:t>
      </w:r>
      <w:r w:rsidRPr="004A2C10">
        <w:rPr>
          <w:rFonts w:asciiTheme="majorHAnsi" w:hAnsiTheme="majorHAnsi"/>
          <w:shadow/>
        </w:rPr>
        <w:t xml:space="preserve"> απορριμμάτων, βλαστικών απορριμμάτων και αποβλήτων εκσκαφών, κατασκευών και κατεδαφίσεων (</w:t>
      </w:r>
      <w:hyperlink r:id="rId22">
        <w:r w:rsidRPr="004A2C10">
          <w:rPr>
            <w:rFonts w:asciiTheme="majorHAnsi" w:hAnsiTheme="majorHAnsi"/>
            <w:shadow/>
            <w:color w:val="1155CC"/>
            <w:u w:val="single"/>
          </w:rPr>
          <w:t>Μελέτη 6/2020</w:t>
        </w:r>
      </w:hyperlink>
      <w:r w:rsidRPr="004A2C10">
        <w:rPr>
          <w:rFonts w:asciiTheme="majorHAnsi" w:hAnsiTheme="majorHAnsi"/>
          <w:shadow/>
        </w:rPr>
        <w:t>)</w:t>
      </w:r>
    </w:p>
    <w:p w:rsidR="00F61359" w:rsidRPr="004A2C10" w:rsidRDefault="004A2C10">
      <w:pPr>
        <w:pStyle w:val="normal"/>
        <w:numPr>
          <w:ilvl w:val="0"/>
          <w:numId w:val="4"/>
        </w:numPr>
        <w:spacing w:line="360" w:lineRule="auto"/>
        <w:jc w:val="both"/>
        <w:rPr>
          <w:rFonts w:asciiTheme="majorHAnsi" w:hAnsiTheme="majorHAnsi"/>
          <w:shadow/>
        </w:rPr>
      </w:pPr>
      <w:r w:rsidRPr="004A2C10">
        <w:rPr>
          <w:rFonts w:asciiTheme="majorHAnsi" w:hAnsiTheme="majorHAnsi"/>
          <w:shadow/>
        </w:rPr>
        <w:t>τον οδοκαθαρισμό, την απολύμανση κοινόχρηστων χώρων (</w:t>
      </w:r>
      <w:hyperlink r:id="rId23">
        <w:r w:rsidRPr="004A2C10">
          <w:rPr>
            <w:rFonts w:asciiTheme="majorHAnsi" w:hAnsiTheme="majorHAnsi"/>
            <w:shadow/>
            <w:color w:val="1155CC"/>
            <w:u w:val="single"/>
          </w:rPr>
          <w:t>Μελέτη 7/2020</w:t>
        </w:r>
      </w:hyperlink>
      <w:r w:rsidRPr="004A2C10">
        <w:rPr>
          <w:rFonts w:asciiTheme="majorHAnsi" w:hAnsiTheme="majorHAnsi"/>
          <w:shadow/>
        </w:rPr>
        <w:t>)</w:t>
      </w:r>
    </w:p>
    <w:p w:rsidR="00F61359" w:rsidRPr="004A2C10" w:rsidRDefault="004A2C10">
      <w:pPr>
        <w:pStyle w:val="normal"/>
        <w:spacing w:line="360" w:lineRule="auto"/>
        <w:jc w:val="both"/>
        <w:rPr>
          <w:rFonts w:asciiTheme="majorHAnsi" w:hAnsiTheme="majorHAnsi"/>
          <w:shadow/>
        </w:rPr>
      </w:pPr>
      <w:r w:rsidRPr="004A2C10">
        <w:rPr>
          <w:rFonts w:asciiTheme="majorHAnsi" w:hAnsiTheme="majorHAnsi"/>
          <w:shadow/>
        </w:rPr>
        <w:t>Οι συγκεκριμένες υπηρεσίες είτε παρέχονταν και παλαιότερα με μονοετείς συμβάσεις είτε δε</w:t>
      </w:r>
      <w:r w:rsidRPr="004A2C10">
        <w:rPr>
          <w:rFonts w:asciiTheme="majorHAnsi" w:hAnsiTheme="majorHAnsi"/>
          <w:shadow/>
        </w:rPr>
        <w:t>ν υλοποιούνταν καθόλου. Με τις τριετείς συμβάσεις επιτυγχάνεται οικονομία κλίμακας και φυσικά μικρότερο διοικητικό κόστος για την πραγματοποίηση των διαγωνισμών. Στις συμβάσεις που θα υλοποιηθούν, προβλέπεται και η παροχή του ανάλογου εξοπλισμού.</w:t>
      </w:r>
    </w:p>
    <w:p w:rsidR="00F61359" w:rsidRPr="004A2C10" w:rsidRDefault="004A2C10">
      <w:pPr>
        <w:pStyle w:val="normal"/>
        <w:spacing w:line="360" w:lineRule="auto"/>
        <w:jc w:val="both"/>
        <w:rPr>
          <w:rFonts w:asciiTheme="majorHAnsi" w:hAnsiTheme="majorHAnsi"/>
          <w:b/>
          <w:shadow/>
        </w:rPr>
      </w:pPr>
      <w:r w:rsidRPr="004A2C10">
        <w:rPr>
          <w:rFonts w:asciiTheme="majorHAnsi" w:hAnsiTheme="majorHAnsi"/>
          <w:b/>
          <w:shadow/>
        </w:rPr>
        <w:lastRenderedPageBreak/>
        <w:t>Δεύτερον,</w:t>
      </w:r>
      <w:r w:rsidRPr="004A2C10">
        <w:rPr>
          <w:rFonts w:asciiTheme="majorHAnsi" w:hAnsiTheme="majorHAnsi"/>
          <w:shadow/>
        </w:rPr>
        <w:t xml:space="preserve"> προς τη διεκδίκηση κάθε πόρου που προέρχεται από ευρωπαϊκά και περιφερειακά προγράμματα. Ήδη, ο Δήμος Πεντέλης υπέβαλε ολοκληρωμένη πρόταση χρηματοδότησης, που συνέταξε η Τεχνική Υπηρεσία του Δήμου, για εξοπλισμό διαχείρισης </w:t>
      </w:r>
      <w:proofErr w:type="spellStart"/>
      <w:r w:rsidRPr="004A2C10">
        <w:rPr>
          <w:rFonts w:asciiTheme="majorHAnsi" w:hAnsiTheme="majorHAnsi"/>
          <w:shadow/>
        </w:rPr>
        <w:t>βιοαποβλήτων</w:t>
      </w:r>
      <w:proofErr w:type="spellEnd"/>
      <w:r w:rsidRPr="004A2C10">
        <w:rPr>
          <w:rFonts w:asciiTheme="majorHAnsi" w:hAnsiTheme="majorHAnsi"/>
          <w:shadow/>
        </w:rPr>
        <w:t xml:space="preserve"> προς τον αρμόδιο </w:t>
      </w:r>
      <w:r w:rsidRPr="004A2C10">
        <w:rPr>
          <w:rFonts w:asciiTheme="majorHAnsi" w:hAnsiTheme="majorHAnsi"/>
          <w:shadow/>
        </w:rPr>
        <w:t>φορέα χρηματοδότησης του Υπουργείου Ανάπτυξης και Επενδύσεων (Ειδική Υπηρεσία Διαχείρισης του ΕΠ ΥΜΕΠΕΡΑΑ του ΕΣΠΑ 2014-2020). Η πρόταση αφορά:</w:t>
      </w:r>
    </w:p>
    <w:p w:rsidR="00F61359" w:rsidRPr="004A2C10" w:rsidRDefault="004A2C10">
      <w:pPr>
        <w:pStyle w:val="normal"/>
        <w:numPr>
          <w:ilvl w:val="0"/>
          <w:numId w:val="2"/>
        </w:numPr>
        <w:spacing w:line="360" w:lineRule="auto"/>
        <w:jc w:val="both"/>
        <w:rPr>
          <w:rFonts w:asciiTheme="majorHAnsi" w:hAnsiTheme="majorHAnsi"/>
          <w:shadow/>
        </w:rPr>
      </w:pPr>
      <w:r w:rsidRPr="004A2C10">
        <w:rPr>
          <w:rFonts w:asciiTheme="majorHAnsi" w:hAnsiTheme="majorHAnsi"/>
          <w:shadow/>
        </w:rPr>
        <w:t>3 απορριμματοφόρα με σύστημα πλύσης κάδων (ένα των 6m3 και δύο των 14m3)</w:t>
      </w:r>
    </w:p>
    <w:p w:rsidR="00F61359" w:rsidRPr="004A2C10" w:rsidRDefault="004A2C10">
      <w:pPr>
        <w:pStyle w:val="normal"/>
        <w:numPr>
          <w:ilvl w:val="0"/>
          <w:numId w:val="2"/>
        </w:numPr>
        <w:spacing w:line="360" w:lineRule="auto"/>
        <w:jc w:val="both"/>
        <w:rPr>
          <w:rFonts w:asciiTheme="majorHAnsi" w:hAnsiTheme="majorHAnsi"/>
          <w:shadow/>
        </w:rPr>
      </w:pPr>
      <w:r w:rsidRPr="004A2C10">
        <w:rPr>
          <w:rFonts w:asciiTheme="majorHAnsi" w:hAnsiTheme="majorHAnsi"/>
          <w:shadow/>
        </w:rPr>
        <w:t>1 ανατρεπόμενο φορτηγό όχημα με εγκατεσ</w:t>
      </w:r>
      <w:r w:rsidRPr="004A2C10">
        <w:rPr>
          <w:rFonts w:asciiTheme="majorHAnsi" w:hAnsiTheme="majorHAnsi"/>
          <w:shadow/>
        </w:rPr>
        <w:t>τημένο γερανό με αρπάγη</w:t>
      </w:r>
    </w:p>
    <w:p w:rsidR="00F61359" w:rsidRPr="004A2C10" w:rsidRDefault="004A2C10">
      <w:pPr>
        <w:pStyle w:val="normal"/>
        <w:numPr>
          <w:ilvl w:val="0"/>
          <w:numId w:val="2"/>
        </w:numPr>
        <w:spacing w:line="360" w:lineRule="auto"/>
        <w:jc w:val="both"/>
        <w:rPr>
          <w:rFonts w:asciiTheme="majorHAnsi" w:hAnsiTheme="majorHAnsi"/>
          <w:shadow/>
        </w:rPr>
      </w:pPr>
      <w:r w:rsidRPr="004A2C10">
        <w:rPr>
          <w:rFonts w:asciiTheme="majorHAnsi" w:hAnsiTheme="majorHAnsi"/>
          <w:shadow/>
        </w:rPr>
        <w:t xml:space="preserve">1 ρυμουλκούμενο </w:t>
      </w:r>
      <w:proofErr w:type="spellStart"/>
      <w:r w:rsidRPr="004A2C10">
        <w:rPr>
          <w:rFonts w:asciiTheme="majorHAnsi" w:hAnsiTheme="majorHAnsi"/>
          <w:shadow/>
        </w:rPr>
        <w:t>κλαδοτεμαχιστή</w:t>
      </w:r>
      <w:proofErr w:type="spellEnd"/>
    </w:p>
    <w:p w:rsidR="00F61359" w:rsidRPr="004A2C10" w:rsidRDefault="004A2C10">
      <w:pPr>
        <w:pStyle w:val="normal"/>
        <w:numPr>
          <w:ilvl w:val="0"/>
          <w:numId w:val="2"/>
        </w:numPr>
        <w:spacing w:line="360" w:lineRule="auto"/>
        <w:jc w:val="both"/>
        <w:rPr>
          <w:rFonts w:asciiTheme="majorHAnsi" w:hAnsiTheme="majorHAnsi"/>
          <w:shadow/>
        </w:rPr>
      </w:pPr>
      <w:r w:rsidRPr="004A2C10">
        <w:rPr>
          <w:rFonts w:asciiTheme="majorHAnsi" w:hAnsiTheme="majorHAnsi"/>
          <w:shadow/>
        </w:rPr>
        <w:t xml:space="preserve">980 κάδους οικιακής </w:t>
      </w:r>
      <w:proofErr w:type="spellStart"/>
      <w:r w:rsidRPr="004A2C10">
        <w:rPr>
          <w:rFonts w:asciiTheme="majorHAnsi" w:hAnsiTheme="majorHAnsi"/>
          <w:shadow/>
        </w:rPr>
        <w:t>κομποστοποίησης</w:t>
      </w:r>
      <w:proofErr w:type="spellEnd"/>
      <w:r w:rsidRPr="004A2C10">
        <w:rPr>
          <w:rFonts w:asciiTheme="majorHAnsi" w:hAnsiTheme="majorHAnsi"/>
          <w:shadow/>
        </w:rPr>
        <w:t xml:space="preserve"> των 330lt </w:t>
      </w:r>
    </w:p>
    <w:p w:rsidR="00F61359" w:rsidRPr="004A2C10" w:rsidRDefault="004A2C10">
      <w:pPr>
        <w:pStyle w:val="normal"/>
        <w:numPr>
          <w:ilvl w:val="0"/>
          <w:numId w:val="2"/>
        </w:numPr>
        <w:spacing w:line="360" w:lineRule="auto"/>
        <w:jc w:val="both"/>
        <w:rPr>
          <w:rFonts w:asciiTheme="majorHAnsi" w:hAnsiTheme="majorHAnsi"/>
          <w:shadow/>
        </w:rPr>
      </w:pPr>
      <w:r w:rsidRPr="004A2C10">
        <w:rPr>
          <w:rFonts w:asciiTheme="majorHAnsi" w:hAnsiTheme="majorHAnsi"/>
          <w:shadow/>
        </w:rPr>
        <w:t xml:space="preserve">20 κάδους </w:t>
      </w:r>
      <w:proofErr w:type="spellStart"/>
      <w:r w:rsidRPr="004A2C10">
        <w:rPr>
          <w:rFonts w:asciiTheme="majorHAnsi" w:hAnsiTheme="majorHAnsi"/>
          <w:shadow/>
        </w:rPr>
        <w:t>κομποστοποίησης</w:t>
      </w:r>
      <w:proofErr w:type="spellEnd"/>
      <w:r w:rsidRPr="004A2C10">
        <w:rPr>
          <w:rFonts w:asciiTheme="majorHAnsi" w:hAnsiTheme="majorHAnsi"/>
          <w:shadow/>
        </w:rPr>
        <w:t xml:space="preserve"> για σχολεία των 400lt</w:t>
      </w:r>
    </w:p>
    <w:p w:rsidR="00F61359" w:rsidRPr="004A2C10" w:rsidRDefault="004A2C10">
      <w:pPr>
        <w:pStyle w:val="normal"/>
        <w:numPr>
          <w:ilvl w:val="0"/>
          <w:numId w:val="2"/>
        </w:numPr>
        <w:spacing w:line="360" w:lineRule="auto"/>
        <w:jc w:val="both"/>
        <w:rPr>
          <w:rFonts w:asciiTheme="majorHAnsi" w:hAnsiTheme="majorHAnsi"/>
          <w:shadow/>
        </w:rPr>
      </w:pPr>
      <w:r w:rsidRPr="004A2C10">
        <w:rPr>
          <w:rFonts w:asciiTheme="majorHAnsi" w:hAnsiTheme="majorHAnsi"/>
          <w:shadow/>
        </w:rPr>
        <w:t xml:space="preserve">1.845 εξωτερικούς κάδους συλλογής </w:t>
      </w:r>
      <w:proofErr w:type="spellStart"/>
      <w:r w:rsidRPr="004A2C10">
        <w:rPr>
          <w:rFonts w:asciiTheme="majorHAnsi" w:hAnsiTheme="majorHAnsi"/>
          <w:shadow/>
        </w:rPr>
        <w:t>βιοαποβλήτων</w:t>
      </w:r>
      <w:proofErr w:type="spellEnd"/>
      <w:r w:rsidRPr="004A2C10">
        <w:rPr>
          <w:rFonts w:asciiTheme="majorHAnsi" w:hAnsiTheme="majorHAnsi"/>
          <w:shadow/>
        </w:rPr>
        <w:t xml:space="preserve"> των 120lt, 175 των 240lt και 130 των 360lt</w:t>
      </w:r>
    </w:p>
    <w:p w:rsidR="00F61359" w:rsidRPr="004A2C10" w:rsidRDefault="004A2C10">
      <w:pPr>
        <w:pStyle w:val="normal"/>
        <w:numPr>
          <w:ilvl w:val="0"/>
          <w:numId w:val="2"/>
        </w:numPr>
        <w:spacing w:line="360" w:lineRule="auto"/>
        <w:jc w:val="both"/>
        <w:rPr>
          <w:rFonts w:asciiTheme="majorHAnsi" w:hAnsiTheme="majorHAnsi"/>
          <w:shadow/>
        </w:rPr>
      </w:pPr>
      <w:r w:rsidRPr="004A2C10">
        <w:rPr>
          <w:rFonts w:asciiTheme="majorHAnsi" w:hAnsiTheme="majorHAnsi"/>
          <w:shadow/>
        </w:rPr>
        <w:t>14.500 κάδους κο</w:t>
      </w:r>
      <w:r w:rsidRPr="004A2C10">
        <w:rPr>
          <w:rFonts w:asciiTheme="majorHAnsi" w:hAnsiTheme="majorHAnsi"/>
          <w:shadow/>
        </w:rPr>
        <w:t>υζίνας των 7lt</w:t>
      </w:r>
    </w:p>
    <w:p w:rsidR="00F61359" w:rsidRPr="004A2C10" w:rsidRDefault="004A2C10">
      <w:pPr>
        <w:pStyle w:val="normal"/>
        <w:numPr>
          <w:ilvl w:val="0"/>
          <w:numId w:val="2"/>
        </w:numPr>
        <w:spacing w:line="360" w:lineRule="auto"/>
        <w:jc w:val="both"/>
        <w:rPr>
          <w:rFonts w:asciiTheme="majorHAnsi" w:hAnsiTheme="majorHAnsi"/>
          <w:shadow/>
        </w:rPr>
      </w:pPr>
      <w:r w:rsidRPr="004A2C10">
        <w:rPr>
          <w:rFonts w:asciiTheme="majorHAnsi" w:hAnsiTheme="majorHAnsi"/>
          <w:shadow/>
        </w:rPr>
        <w:t>2.600.000 βιοδιασπώμενους σάκους των 8lt</w:t>
      </w:r>
    </w:p>
    <w:p w:rsidR="00F61359" w:rsidRPr="004A2C10" w:rsidRDefault="004A2C10">
      <w:pPr>
        <w:pStyle w:val="normal"/>
        <w:numPr>
          <w:ilvl w:val="0"/>
          <w:numId w:val="2"/>
        </w:numPr>
        <w:spacing w:line="360" w:lineRule="auto"/>
        <w:jc w:val="both"/>
        <w:rPr>
          <w:rFonts w:asciiTheme="majorHAnsi" w:hAnsiTheme="majorHAnsi"/>
          <w:shadow/>
        </w:rPr>
      </w:pPr>
      <w:r w:rsidRPr="004A2C10">
        <w:rPr>
          <w:rFonts w:asciiTheme="majorHAnsi" w:hAnsiTheme="majorHAnsi"/>
          <w:shadow/>
        </w:rPr>
        <w:t xml:space="preserve">3.700 RFID TAGS (ετικέτες ταυτοποίησης μέσω </w:t>
      </w:r>
      <w:hyperlink r:id="rId24">
        <w:r w:rsidRPr="004A2C10">
          <w:rPr>
            <w:rFonts w:asciiTheme="majorHAnsi" w:hAnsiTheme="majorHAnsi"/>
            <w:shadow/>
          </w:rPr>
          <w:t>ραδιοσυχνοτήτων</w:t>
        </w:r>
      </w:hyperlink>
      <w:r w:rsidRPr="004A2C10">
        <w:rPr>
          <w:rFonts w:asciiTheme="majorHAnsi" w:hAnsiTheme="majorHAnsi"/>
          <w:shadow/>
        </w:rPr>
        <w:t>) κάδους βαρέως τύπου</w:t>
      </w:r>
      <w:r w:rsidRPr="004A2C10">
        <w:rPr>
          <w:rFonts w:asciiTheme="majorHAnsi" w:hAnsiTheme="majorHAnsi"/>
          <w:shadow/>
          <w:color w:val="222222"/>
          <w:highlight w:val="white"/>
        </w:rPr>
        <w:t xml:space="preserve"> </w:t>
      </w:r>
    </w:p>
    <w:p w:rsidR="00F61359" w:rsidRPr="004A2C10" w:rsidRDefault="004A2C10">
      <w:pPr>
        <w:pStyle w:val="normal"/>
        <w:numPr>
          <w:ilvl w:val="0"/>
          <w:numId w:val="2"/>
        </w:numPr>
        <w:spacing w:line="360" w:lineRule="auto"/>
        <w:jc w:val="both"/>
        <w:rPr>
          <w:rFonts w:asciiTheme="majorHAnsi" w:hAnsiTheme="majorHAnsi"/>
          <w:shadow/>
        </w:rPr>
      </w:pPr>
      <w:r w:rsidRPr="004A2C10">
        <w:rPr>
          <w:rFonts w:asciiTheme="majorHAnsi" w:hAnsiTheme="majorHAnsi"/>
          <w:shadow/>
        </w:rPr>
        <w:t>100 αισθητήρες πληρότητας κάδων</w:t>
      </w:r>
    </w:p>
    <w:p w:rsidR="00F61359" w:rsidRPr="004A2C10" w:rsidRDefault="004A2C10">
      <w:pPr>
        <w:pStyle w:val="normal"/>
        <w:numPr>
          <w:ilvl w:val="0"/>
          <w:numId w:val="2"/>
        </w:numPr>
        <w:spacing w:line="360" w:lineRule="auto"/>
        <w:jc w:val="both"/>
        <w:rPr>
          <w:rFonts w:asciiTheme="majorHAnsi" w:hAnsiTheme="majorHAnsi"/>
          <w:shadow/>
        </w:rPr>
      </w:pPr>
      <w:r w:rsidRPr="004A2C10">
        <w:rPr>
          <w:rFonts w:asciiTheme="majorHAnsi" w:hAnsiTheme="majorHAnsi"/>
          <w:shadow/>
        </w:rPr>
        <w:t xml:space="preserve">Σύστημα ζύγισης και ταυτοποίησης κάδων </w:t>
      </w:r>
      <w:proofErr w:type="spellStart"/>
      <w:r w:rsidRPr="004A2C10">
        <w:rPr>
          <w:rFonts w:asciiTheme="majorHAnsi" w:hAnsiTheme="majorHAnsi"/>
          <w:shadow/>
        </w:rPr>
        <w:t>βιοαποβλήτων</w:t>
      </w:r>
      <w:proofErr w:type="spellEnd"/>
      <w:r w:rsidRPr="004A2C10">
        <w:rPr>
          <w:rFonts w:asciiTheme="majorHAnsi" w:hAnsiTheme="majorHAnsi"/>
          <w:shadow/>
        </w:rPr>
        <w:t xml:space="preserve"> για 13 απορριμματοφόρα</w:t>
      </w:r>
    </w:p>
    <w:p w:rsidR="00F61359" w:rsidRPr="004A2C10" w:rsidRDefault="004A2C10">
      <w:pPr>
        <w:pStyle w:val="normal"/>
        <w:numPr>
          <w:ilvl w:val="0"/>
          <w:numId w:val="2"/>
        </w:numPr>
        <w:spacing w:line="360" w:lineRule="auto"/>
        <w:jc w:val="both"/>
        <w:rPr>
          <w:rFonts w:asciiTheme="majorHAnsi" w:hAnsiTheme="majorHAnsi"/>
          <w:shadow/>
        </w:rPr>
      </w:pPr>
      <w:r w:rsidRPr="004A2C10">
        <w:rPr>
          <w:rFonts w:asciiTheme="majorHAnsi" w:hAnsiTheme="majorHAnsi"/>
          <w:shadow/>
        </w:rPr>
        <w:t xml:space="preserve">Κεντρική πλατφόρμα διαχείρισης συσκευών Internet </w:t>
      </w:r>
      <w:proofErr w:type="spellStart"/>
      <w:r w:rsidRPr="004A2C10">
        <w:rPr>
          <w:rFonts w:asciiTheme="majorHAnsi" w:hAnsiTheme="majorHAnsi"/>
          <w:shadow/>
        </w:rPr>
        <w:t>of</w:t>
      </w:r>
      <w:proofErr w:type="spellEnd"/>
      <w:r w:rsidRPr="004A2C10">
        <w:rPr>
          <w:rFonts w:asciiTheme="majorHAnsi" w:hAnsiTheme="majorHAnsi"/>
          <w:shadow/>
        </w:rPr>
        <w:t xml:space="preserve"> </w:t>
      </w:r>
      <w:proofErr w:type="spellStart"/>
      <w:r w:rsidRPr="004A2C10">
        <w:rPr>
          <w:rFonts w:asciiTheme="majorHAnsi" w:hAnsiTheme="majorHAnsi"/>
          <w:shadow/>
        </w:rPr>
        <w:t>Things</w:t>
      </w:r>
      <w:proofErr w:type="spellEnd"/>
      <w:r w:rsidRPr="004A2C10">
        <w:rPr>
          <w:rFonts w:asciiTheme="majorHAnsi" w:hAnsiTheme="majorHAnsi"/>
          <w:shadow/>
        </w:rPr>
        <w:t xml:space="preserve"> (</w:t>
      </w:r>
      <w:proofErr w:type="spellStart"/>
      <w:r w:rsidRPr="004A2C10">
        <w:rPr>
          <w:rFonts w:asciiTheme="majorHAnsi" w:hAnsiTheme="majorHAnsi"/>
          <w:shadow/>
        </w:rPr>
        <w:t>IoT</w:t>
      </w:r>
      <w:proofErr w:type="spellEnd"/>
      <w:r w:rsidRPr="004A2C10">
        <w:rPr>
          <w:rFonts w:asciiTheme="majorHAnsi" w:hAnsiTheme="majorHAnsi"/>
          <w:shadow/>
        </w:rPr>
        <w:t>)</w:t>
      </w:r>
    </w:p>
    <w:p w:rsidR="00F61359" w:rsidRPr="004A2C10" w:rsidRDefault="004A2C10">
      <w:pPr>
        <w:pStyle w:val="normal"/>
        <w:numPr>
          <w:ilvl w:val="0"/>
          <w:numId w:val="2"/>
        </w:numPr>
        <w:spacing w:line="360" w:lineRule="auto"/>
        <w:jc w:val="both"/>
        <w:rPr>
          <w:rFonts w:asciiTheme="majorHAnsi" w:hAnsiTheme="majorHAnsi"/>
          <w:shadow/>
        </w:rPr>
      </w:pPr>
      <w:r w:rsidRPr="004A2C10">
        <w:rPr>
          <w:rFonts w:asciiTheme="majorHAnsi" w:hAnsiTheme="majorHAnsi"/>
          <w:shadow/>
        </w:rPr>
        <w:t>Δράσεις ενημέρωσης και ευαισθ</w:t>
      </w:r>
      <w:r w:rsidRPr="004A2C10">
        <w:rPr>
          <w:rFonts w:asciiTheme="majorHAnsi" w:hAnsiTheme="majorHAnsi"/>
          <w:shadow/>
        </w:rPr>
        <w:t xml:space="preserve">ητοποίησης για το πρόγραμμα διαλογής στην πηγή </w:t>
      </w:r>
      <w:proofErr w:type="spellStart"/>
      <w:r w:rsidRPr="004A2C10">
        <w:rPr>
          <w:rFonts w:asciiTheme="majorHAnsi" w:hAnsiTheme="majorHAnsi"/>
          <w:shadow/>
        </w:rPr>
        <w:t>βιοαποβλήτων</w:t>
      </w:r>
      <w:proofErr w:type="spellEnd"/>
      <w:r w:rsidRPr="004A2C10">
        <w:rPr>
          <w:rFonts w:asciiTheme="majorHAnsi" w:hAnsiTheme="majorHAnsi"/>
          <w:shadow/>
        </w:rPr>
        <w:t xml:space="preserve"> Δήμου Πεντέλης</w:t>
      </w:r>
    </w:p>
    <w:p w:rsidR="00F61359" w:rsidRPr="004A2C10" w:rsidRDefault="004A2C10">
      <w:pPr>
        <w:pStyle w:val="normal"/>
        <w:numPr>
          <w:ilvl w:val="0"/>
          <w:numId w:val="2"/>
        </w:numPr>
        <w:spacing w:line="360" w:lineRule="auto"/>
        <w:jc w:val="both"/>
        <w:rPr>
          <w:rFonts w:asciiTheme="majorHAnsi" w:hAnsiTheme="majorHAnsi"/>
          <w:shadow/>
        </w:rPr>
      </w:pPr>
      <w:r w:rsidRPr="004A2C10">
        <w:rPr>
          <w:rFonts w:asciiTheme="majorHAnsi" w:hAnsiTheme="majorHAnsi"/>
          <w:shadow/>
        </w:rPr>
        <w:t xml:space="preserve">Υπηρεσίες συμβούλου για την οργάνωση, λειτουργία και παρακολούθηση του προγράμματος </w:t>
      </w:r>
      <w:proofErr w:type="spellStart"/>
      <w:r w:rsidRPr="004A2C10">
        <w:rPr>
          <w:rFonts w:asciiTheme="majorHAnsi" w:hAnsiTheme="majorHAnsi"/>
          <w:shadow/>
        </w:rPr>
        <w:t>βιοαποβλήτων</w:t>
      </w:r>
      <w:proofErr w:type="spellEnd"/>
      <w:r w:rsidRPr="004A2C10">
        <w:rPr>
          <w:rFonts w:asciiTheme="majorHAnsi" w:hAnsiTheme="majorHAnsi"/>
          <w:shadow/>
        </w:rPr>
        <w:t>.</w:t>
      </w:r>
    </w:p>
    <w:p w:rsidR="00F61359" w:rsidRPr="004A2C10" w:rsidRDefault="00F61359">
      <w:pPr>
        <w:pStyle w:val="normal"/>
        <w:spacing w:line="360" w:lineRule="auto"/>
        <w:jc w:val="both"/>
        <w:rPr>
          <w:rFonts w:asciiTheme="majorHAnsi" w:hAnsiTheme="majorHAnsi"/>
          <w:b/>
          <w:shadow/>
        </w:rPr>
      </w:pPr>
    </w:p>
    <w:p w:rsidR="00F61359" w:rsidRPr="004A2C10" w:rsidRDefault="004A2C10">
      <w:pPr>
        <w:pStyle w:val="normal"/>
        <w:spacing w:line="360" w:lineRule="auto"/>
        <w:jc w:val="both"/>
        <w:rPr>
          <w:rFonts w:asciiTheme="majorHAnsi" w:hAnsiTheme="majorHAnsi"/>
          <w:shadow/>
        </w:rPr>
      </w:pPr>
      <w:r w:rsidRPr="004A2C10">
        <w:rPr>
          <w:rFonts w:asciiTheme="majorHAnsi" w:hAnsiTheme="majorHAnsi"/>
          <w:shadow/>
        </w:rPr>
        <w:t xml:space="preserve">Φυσικά, όλα τα παραπάνω δεν θα υλοποιηθούν αυτόματα. Θα χρειαστεί υπομονή κάποιων μηνών για την πραγματοποίηση των δύο μεγάλων ανοικτών διεθνών ηλεκτρονικών διαγωνισμών αλλά και την αποδοχή της πρότασης για τον εξοπλισμό διαχείρισης </w:t>
      </w:r>
      <w:proofErr w:type="spellStart"/>
      <w:r w:rsidRPr="004A2C10">
        <w:rPr>
          <w:rFonts w:asciiTheme="majorHAnsi" w:hAnsiTheme="majorHAnsi"/>
          <w:shadow/>
        </w:rPr>
        <w:t>βιοαποβλήτων</w:t>
      </w:r>
      <w:proofErr w:type="spellEnd"/>
      <w:r w:rsidRPr="004A2C10">
        <w:rPr>
          <w:rFonts w:asciiTheme="majorHAnsi" w:hAnsiTheme="majorHAnsi"/>
          <w:shadow/>
        </w:rPr>
        <w:t xml:space="preserve"> από τον αρ</w:t>
      </w:r>
      <w:r w:rsidRPr="004A2C10">
        <w:rPr>
          <w:rFonts w:asciiTheme="majorHAnsi" w:hAnsiTheme="majorHAnsi"/>
          <w:shadow/>
        </w:rPr>
        <w:t>μόδιο φορέα. Στο κοντινό μέλλον, η υπηρεσία καθαριότητας του Δήμου Πεντέλης, οι εργαζόμενοι του Δήμου, έχοντας τον απαραίτητο εξοπλισμό και υποστηριζόμενοι από τις υπηρεσίες τρίτων, θα μπορεί να προσφέρει στους πολίτες υψηλού επιπέδου υπηρεσίες σε όλο το ε</w:t>
      </w:r>
      <w:r w:rsidRPr="004A2C10">
        <w:rPr>
          <w:rFonts w:asciiTheme="majorHAnsi" w:hAnsiTheme="majorHAnsi"/>
          <w:shadow/>
        </w:rPr>
        <w:t xml:space="preserve">ύρος του Δήμου, στους δρόμους, στα πεζοδρόμια, στις πλατείες, τα πάρκα, και λαϊκές αγορές  των  </w:t>
      </w:r>
      <w:proofErr w:type="spellStart"/>
      <w:r w:rsidRPr="004A2C10">
        <w:rPr>
          <w:rFonts w:asciiTheme="majorHAnsi" w:hAnsiTheme="majorHAnsi"/>
          <w:shadow/>
        </w:rPr>
        <w:t>Μελισσίων</w:t>
      </w:r>
      <w:proofErr w:type="spellEnd"/>
      <w:r w:rsidRPr="004A2C10">
        <w:rPr>
          <w:rFonts w:asciiTheme="majorHAnsi" w:hAnsiTheme="majorHAnsi"/>
          <w:shadow/>
        </w:rPr>
        <w:t>, της Νέας Πεντέλης και της Πεντέλης.</w:t>
      </w:r>
    </w:p>
    <w:p w:rsidR="00F61359" w:rsidRPr="004A2C10" w:rsidRDefault="00F61359">
      <w:pPr>
        <w:pStyle w:val="normal"/>
        <w:spacing w:line="360" w:lineRule="auto"/>
        <w:jc w:val="both"/>
        <w:rPr>
          <w:rFonts w:asciiTheme="majorHAnsi" w:hAnsiTheme="majorHAnsi"/>
          <w:b/>
          <w:shadow/>
        </w:rPr>
      </w:pPr>
    </w:p>
    <w:p w:rsidR="00F61359" w:rsidRPr="004A2C10" w:rsidRDefault="00F61359">
      <w:pPr>
        <w:pStyle w:val="normal"/>
        <w:spacing w:line="360" w:lineRule="auto"/>
        <w:jc w:val="center"/>
        <w:rPr>
          <w:rFonts w:asciiTheme="majorHAnsi" w:eastAsia="Verdana" w:hAnsiTheme="majorHAnsi" w:cs="Verdana"/>
          <w:shadow/>
        </w:rPr>
      </w:pPr>
    </w:p>
    <w:p w:rsidR="00F61359" w:rsidRPr="004A2C10" w:rsidRDefault="004A2C10">
      <w:pPr>
        <w:pStyle w:val="normal"/>
        <w:spacing w:line="360" w:lineRule="auto"/>
        <w:jc w:val="center"/>
        <w:rPr>
          <w:rFonts w:asciiTheme="majorHAnsi" w:eastAsia="Verdana" w:hAnsiTheme="majorHAnsi" w:cs="Verdana"/>
          <w:shadow/>
        </w:rPr>
      </w:pPr>
      <w:r w:rsidRPr="004A2C10">
        <w:rPr>
          <w:rFonts w:asciiTheme="majorHAnsi" w:eastAsia="Verdana" w:hAnsiTheme="majorHAnsi" w:cs="Verdana"/>
          <w:shadow/>
        </w:rPr>
        <w:t>ΑΓΓΕΛΟΣ ΠΑΛΑΙΟΔΗΜΟΣ</w:t>
      </w:r>
    </w:p>
    <w:p w:rsidR="00F61359" w:rsidRPr="004A2C10" w:rsidRDefault="004A2C10">
      <w:pPr>
        <w:pStyle w:val="normal"/>
        <w:spacing w:line="360" w:lineRule="auto"/>
        <w:jc w:val="center"/>
        <w:rPr>
          <w:rFonts w:asciiTheme="majorHAnsi" w:eastAsia="Verdana" w:hAnsiTheme="majorHAnsi" w:cs="Verdana"/>
          <w:shadow/>
        </w:rPr>
      </w:pPr>
      <w:r w:rsidRPr="004A2C10">
        <w:rPr>
          <w:rFonts w:asciiTheme="majorHAnsi" w:eastAsia="Verdana" w:hAnsiTheme="majorHAnsi" w:cs="Verdana"/>
          <w:shadow/>
        </w:rPr>
        <w:t>ΑΝΤΙΔΗΜΑΡΧΟΣ ΤΕΧΝΙΚΩΝ ΥΠΗΡΕΣΙΩΝ ΔΗΜΟΥ ΠΕΝΤΕΛΗΣ</w:t>
      </w:r>
    </w:p>
    <w:p w:rsidR="00F61359" w:rsidRPr="004A2C10" w:rsidRDefault="004A2C10">
      <w:pPr>
        <w:pStyle w:val="normal"/>
        <w:spacing w:line="360" w:lineRule="auto"/>
        <w:jc w:val="center"/>
        <w:rPr>
          <w:rFonts w:asciiTheme="majorHAnsi" w:eastAsia="Verdana" w:hAnsiTheme="majorHAnsi" w:cs="Verdana"/>
          <w:shadow/>
        </w:rPr>
      </w:pPr>
      <w:r w:rsidRPr="004A2C10">
        <w:rPr>
          <w:rFonts w:asciiTheme="majorHAnsi" w:eastAsia="Verdana" w:hAnsiTheme="majorHAnsi" w:cs="Verdana"/>
          <w:shadow/>
        </w:rPr>
        <w:t>ΕΠΙΚΕΦΑΛΗΣ ΔΗΜΟΤΙΚΗΣ ΠΑΡΑΤΑΞΗΣ</w:t>
      </w:r>
    </w:p>
    <w:p w:rsidR="00F61359" w:rsidRPr="004A2C10" w:rsidRDefault="004A2C10">
      <w:pPr>
        <w:pStyle w:val="normal"/>
        <w:spacing w:line="360" w:lineRule="auto"/>
        <w:jc w:val="center"/>
        <w:rPr>
          <w:rFonts w:asciiTheme="majorHAnsi" w:eastAsia="Verdana" w:hAnsiTheme="majorHAnsi" w:cs="Verdana"/>
          <w:shadow/>
        </w:rPr>
      </w:pPr>
      <w:r w:rsidRPr="004A2C10">
        <w:rPr>
          <w:rFonts w:asciiTheme="majorHAnsi" w:eastAsia="Verdana" w:hAnsiTheme="majorHAnsi" w:cs="Verdana"/>
          <w:shadow/>
        </w:rPr>
        <w:t xml:space="preserve">ΠΕΝΤΕΛΗ 2020 </w:t>
      </w:r>
      <w:r w:rsidRPr="004A2C10">
        <w:rPr>
          <w:rFonts w:asciiTheme="majorHAnsi" w:eastAsia="Verdana" w:hAnsiTheme="majorHAnsi" w:cs="Verdana"/>
          <w:shadow/>
        </w:rPr>
        <w:t xml:space="preserve"> - ΠΡΑΣΙΝΗ ΕΞΥΠΝΗ ΔΗΜΟΚΡΑΤΙΚΗ ΠΟΛΗ</w:t>
      </w:r>
    </w:p>
    <w:sectPr w:rsidR="00F61359" w:rsidRPr="004A2C10" w:rsidSect="00F61359">
      <w:pgSz w:w="11909" w:h="16834"/>
      <w:pgMar w:top="425" w:right="998" w:bottom="547" w:left="992"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719E"/>
    <w:multiLevelType w:val="multilevel"/>
    <w:tmpl w:val="1A7A0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6374A7"/>
    <w:multiLevelType w:val="multilevel"/>
    <w:tmpl w:val="70A26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97F16B0"/>
    <w:multiLevelType w:val="multilevel"/>
    <w:tmpl w:val="1C449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E1F7BBB"/>
    <w:multiLevelType w:val="multilevel"/>
    <w:tmpl w:val="EEDE7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F61359"/>
    <w:rsid w:val="004A2C10"/>
    <w:rsid w:val="00F613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F61359"/>
    <w:pPr>
      <w:keepNext/>
      <w:keepLines/>
      <w:spacing w:before="400" w:after="120"/>
      <w:outlineLvl w:val="0"/>
    </w:pPr>
    <w:rPr>
      <w:sz w:val="40"/>
      <w:szCs w:val="40"/>
    </w:rPr>
  </w:style>
  <w:style w:type="paragraph" w:styleId="2">
    <w:name w:val="heading 2"/>
    <w:basedOn w:val="normal"/>
    <w:next w:val="normal"/>
    <w:rsid w:val="00F61359"/>
    <w:pPr>
      <w:keepNext/>
      <w:keepLines/>
      <w:spacing w:before="360" w:after="120"/>
      <w:outlineLvl w:val="1"/>
    </w:pPr>
    <w:rPr>
      <w:sz w:val="32"/>
      <w:szCs w:val="32"/>
    </w:rPr>
  </w:style>
  <w:style w:type="paragraph" w:styleId="3">
    <w:name w:val="heading 3"/>
    <w:basedOn w:val="normal"/>
    <w:next w:val="normal"/>
    <w:rsid w:val="00F61359"/>
    <w:pPr>
      <w:keepNext/>
      <w:keepLines/>
      <w:spacing w:before="320" w:after="80"/>
      <w:outlineLvl w:val="2"/>
    </w:pPr>
    <w:rPr>
      <w:color w:val="434343"/>
      <w:sz w:val="28"/>
      <w:szCs w:val="28"/>
    </w:rPr>
  </w:style>
  <w:style w:type="paragraph" w:styleId="4">
    <w:name w:val="heading 4"/>
    <w:basedOn w:val="normal"/>
    <w:next w:val="normal"/>
    <w:rsid w:val="00F61359"/>
    <w:pPr>
      <w:keepNext/>
      <w:keepLines/>
      <w:spacing w:before="280" w:after="80"/>
      <w:outlineLvl w:val="3"/>
    </w:pPr>
    <w:rPr>
      <w:color w:val="666666"/>
      <w:sz w:val="24"/>
      <w:szCs w:val="24"/>
    </w:rPr>
  </w:style>
  <w:style w:type="paragraph" w:styleId="5">
    <w:name w:val="heading 5"/>
    <w:basedOn w:val="normal"/>
    <w:next w:val="normal"/>
    <w:rsid w:val="00F61359"/>
    <w:pPr>
      <w:keepNext/>
      <w:keepLines/>
      <w:spacing w:before="240" w:after="80"/>
      <w:outlineLvl w:val="4"/>
    </w:pPr>
    <w:rPr>
      <w:color w:val="666666"/>
    </w:rPr>
  </w:style>
  <w:style w:type="paragraph" w:styleId="6">
    <w:name w:val="heading 6"/>
    <w:basedOn w:val="normal"/>
    <w:next w:val="normal"/>
    <w:rsid w:val="00F61359"/>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61359"/>
  </w:style>
  <w:style w:type="table" w:customStyle="1" w:styleId="TableNormal">
    <w:name w:val="Table Normal"/>
    <w:rsid w:val="00F61359"/>
    <w:tblPr>
      <w:tblCellMar>
        <w:top w:w="0" w:type="dxa"/>
        <w:left w:w="0" w:type="dxa"/>
        <w:bottom w:w="0" w:type="dxa"/>
        <w:right w:w="0" w:type="dxa"/>
      </w:tblCellMar>
    </w:tblPr>
  </w:style>
  <w:style w:type="paragraph" w:styleId="a3">
    <w:name w:val="Title"/>
    <w:basedOn w:val="normal"/>
    <w:next w:val="normal"/>
    <w:rsid w:val="00F61359"/>
    <w:pPr>
      <w:keepNext/>
      <w:keepLines/>
      <w:spacing w:after="60"/>
    </w:pPr>
    <w:rPr>
      <w:sz w:val="52"/>
      <w:szCs w:val="52"/>
    </w:rPr>
  </w:style>
  <w:style w:type="paragraph" w:styleId="a4">
    <w:name w:val="Subtitle"/>
    <w:basedOn w:val="normal"/>
    <w:next w:val="normal"/>
    <w:rsid w:val="00F61359"/>
    <w:pPr>
      <w:keepNext/>
      <w:keepLines/>
      <w:spacing w:after="320"/>
    </w:pPr>
    <w:rPr>
      <w:color w:val="666666"/>
      <w:sz w:val="30"/>
      <w:szCs w:val="30"/>
    </w:rPr>
  </w:style>
  <w:style w:type="table" w:customStyle="1" w:styleId="a5">
    <w:basedOn w:val="TableNormal"/>
    <w:rsid w:val="00F61359"/>
    <w:tblPr>
      <w:tblStyleRowBandSize w:val="1"/>
      <w:tblStyleColBandSize w:val="1"/>
      <w:tblCellMar>
        <w:top w:w="100" w:type="dxa"/>
        <w:left w:w="100" w:type="dxa"/>
        <w:bottom w:w="100" w:type="dxa"/>
        <w:right w:w="100" w:type="dxa"/>
      </w:tblCellMar>
    </w:tblPr>
  </w:style>
  <w:style w:type="table" w:customStyle="1" w:styleId="a6">
    <w:basedOn w:val="TableNormal"/>
    <w:rsid w:val="00F61359"/>
    <w:tblPr>
      <w:tblStyleRowBandSize w:val="1"/>
      <w:tblStyleColBandSize w:val="1"/>
      <w:tblCellMar>
        <w:top w:w="100" w:type="dxa"/>
        <w:left w:w="100" w:type="dxa"/>
        <w:bottom w:w="100" w:type="dxa"/>
        <w:right w:w="100" w:type="dxa"/>
      </w:tblCellMar>
    </w:tblPr>
  </w:style>
  <w:style w:type="table" w:customStyle="1" w:styleId="a7">
    <w:basedOn w:val="TableNormal"/>
    <w:rsid w:val="00F61359"/>
    <w:tblPr>
      <w:tblStyleRowBandSize w:val="1"/>
      <w:tblStyleColBandSize w:val="1"/>
      <w:tblCellMar>
        <w:top w:w="100" w:type="dxa"/>
        <w:left w:w="100" w:type="dxa"/>
        <w:bottom w:w="100" w:type="dxa"/>
        <w:right w:w="100" w:type="dxa"/>
      </w:tblCellMar>
    </w:tblPr>
  </w:style>
  <w:style w:type="paragraph" w:styleId="a8">
    <w:name w:val="Balloon Text"/>
    <w:basedOn w:val="a"/>
    <w:link w:val="Char"/>
    <w:uiPriority w:val="99"/>
    <w:semiHidden/>
    <w:unhideWhenUsed/>
    <w:rsid w:val="004A2C10"/>
    <w:pPr>
      <w:spacing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4A2C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vgeia.gov.gr/doc/7%CE%A32%CE%92%CE%A9%CE%9E3-407?inline=true" TargetMode="External"/><Relationship Id="rId13" Type="http://schemas.openxmlformats.org/officeDocument/2006/relationships/hyperlink" Target="https://diavgeia.gov.gr/doc/6%CE%9C3%CE%94%CE%A9%CE%9E3-%CE%94%CE%A5%CE%A1?inline=true" TargetMode="External"/><Relationship Id="rId18" Type="http://schemas.openxmlformats.org/officeDocument/2006/relationships/hyperlink" Target="https://diavgeia.gov.gr/doc/7%CE%967%CE%A6%CE%A9%CE%9E3-8%CE%941?inline=tru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enteli2020.gr/post/anamorfosi01" TargetMode="External"/><Relationship Id="rId7" Type="http://schemas.openxmlformats.org/officeDocument/2006/relationships/hyperlink" Target="https://diavgeia.gov.gr/doc/6%CE%976%CE%A9%CE%A9%CE%9E3-%CE%A1%CE%A1%CE%9E?inline=true" TargetMode="External"/><Relationship Id="rId12" Type="http://schemas.openxmlformats.org/officeDocument/2006/relationships/hyperlink" Target="https://diavgeia.gov.gr/doc/%CE%A927%CE%94%CE%A9%CE%9E3-6%CE%A3%CE%95?inline=true" TargetMode="External"/><Relationship Id="rId17" Type="http://schemas.openxmlformats.org/officeDocument/2006/relationships/hyperlink" Target="https://diavgeia.gov.gr/doc/%CE%A9%CE%A0%CE%993%CE%A9%CE%9E3-%CE%9E21?inline=tru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avgeia.gov.gr/doc/6%CE%9F%CE%974%CE%A9%CE%9E3-%CE%A7%CE%A56?inline=true" TargetMode="External"/><Relationship Id="rId20" Type="http://schemas.openxmlformats.org/officeDocument/2006/relationships/hyperlink" Target="https://www.penteli2020.gr/post/proypologismos" TargetMode="External"/><Relationship Id="rId1" Type="http://schemas.openxmlformats.org/officeDocument/2006/relationships/numbering" Target="numbering.xml"/><Relationship Id="rId6" Type="http://schemas.openxmlformats.org/officeDocument/2006/relationships/hyperlink" Target="https://diavgeia.gov.gr/doc/7%CE%91%CE%A71%CE%A9%CE%9E3-8%CE%98%CE%9E?inline=true" TargetMode="External"/><Relationship Id="rId11" Type="http://schemas.openxmlformats.org/officeDocument/2006/relationships/hyperlink" Target="https://diavgeia.gov.gr/doc/%CE%A927%CE%94%CE%A9%CE%9E3-6%CE%A3%CE%95?inline=true" TargetMode="External"/><Relationship Id="rId24" Type="http://schemas.openxmlformats.org/officeDocument/2006/relationships/hyperlink" Target="https://el.wikipedia.org/w/index.php?title=%CE%A1%CE%B1%CE%B4%CE%B9%CE%BF%CF%83%CF%85%CF%87%CE%BD%CF%8C%CF%84%CE%B7%CF%84%CE%B5%CF%82&amp;action=edit&amp;redlink=1" TargetMode="External"/><Relationship Id="rId5" Type="http://schemas.openxmlformats.org/officeDocument/2006/relationships/image" Target="media/image1.jpeg"/><Relationship Id="rId15" Type="http://schemas.openxmlformats.org/officeDocument/2006/relationships/hyperlink" Target="https://diavgeia.gov.gr/doc/7%CE%97%CE%A91%CE%A9%CE%9E3-%CE%A7%CE%9B%CE%9B?inline=true" TargetMode="External"/><Relationship Id="rId23" Type="http://schemas.openxmlformats.org/officeDocument/2006/relationships/hyperlink" Target="https://drive.google.com/file/d/183dZ2qbeCnV3KlpBnJbqwQRQ_vyliN9e/view?usp=sharing" TargetMode="External"/><Relationship Id="rId10" Type="http://schemas.openxmlformats.org/officeDocument/2006/relationships/hyperlink" Target="https://diavgeia.gov.gr/doc/62%CE%91%CE%A7%CE%A9%CE%9E3-%CE%98%CE%98%CE%99?inline=true" TargetMode="External"/><Relationship Id="rId19" Type="http://schemas.openxmlformats.org/officeDocument/2006/relationships/hyperlink" Target="https://diavgeia.gov.gr/doc/%CE%A8%CE%9F%CE%9C%CE%A5%CE%A9%CE%9E3-%CE%9D%CE%94%CE%91?inline=true" TargetMode="External"/><Relationship Id="rId4" Type="http://schemas.openxmlformats.org/officeDocument/2006/relationships/webSettings" Target="webSettings.xml"/><Relationship Id="rId9" Type="http://schemas.openxmlformats.org/officeDocument/2006/relationships/hyperlink" Target="https://diavgeia.gov.gr/doc/62%CE%91%CE%A7%CE%A9%CE%9E3-%CE%98%CE%98%CE%99?inline=true" TargetMode="External"/><Relationship Id="rId14" Type="http://schemas.openxmlformats.org/officeDocument/2006/relationships/hyperlink" Target="https://diavgeia.gov.gr/doc/79%CE%950%CE%A9%CE%9E3-667?inline=true" TargetMode="External"/><Relationship Id="rId22" Type="http://schemas.openxmlformats.org/officeDocument/2006/relationships/hyperlink" Target="https://drive.google.com/file/d/1PaZ1UxiKRi80z4E87hTEbbwBAo7ZTcWj/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1679</Words>
  <Characters>9068</Characters>
  <Application>Microsoft Office Word</Application>
  <DocSecurity>0</DocSecurity>
  <Lines>75</Lines>
  <Paragraphs>21</Paragraphs>
  <ScaleCrop>false</ScaleCrop>
  <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2020-04-27T15:39:00Z</dcterms:created>
  <dcterms:modified xsi:type="dcterms:W3CDTF">2020-04-27T15:40:00Z</dcterms:modified>
</cp:coreProperties>
</file>