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17B90B1" w14:paraId="2E27B825" wp14:textId="34CA48F4">
      <w:pPr>
        <w:spacing w:line="257" w:lineRule="auto"/>
        <w:jc w:val="center"/>
        <w:rPr>
          <w:rFonts w:ascii="Calibri" w:hAnsi="Calibri" w:eastAsia="Calibri" w:cs="Calibri"/>
          <w:b w:val="1"/>
          <w:bCs w:val="1"/>
          <w:noProof w:val="0"/>
          <w:color w:val="2F5496" w:themeColor="accent1" w:themeTint="FF" w:themeShade="BF"/>
          <w:sz w:val="28"/>
          <w:szCs w:val="28"/>
          <w:lang w:val="el-GR"/>
        </w:rPr>
      </w:pPr>
      <w:r w:rsidRPr="217B90B1" w:rsidR="217B90B1">
        <w:rPr>
          <w:rFonts w:ascii="Calibri" w:hAnsi="Calibri" w:eastAsia="Calibri" w:cs="Calibri"/>
          <w:b w:val="1"/>
          <w:bCs w:val="1"/>
          <w:noProof w:val="0"/>
          <w:color w:val="2F5496" w:themeColor="accent1" w:themeTint="FF" w:themeShade="BF"/>
          <w:sz w:val="28"/>
          <w:szCs w:val="28"/>
          <w:lang w:val="el-GR"/>
        </w:rPr>
        <w:t>ΟΡΓΑΝΩΜΕΝΗ ΑΝΤΙΣΤΑΣΗ</w:t>
      </w:r>
      <w:r w:rsidRPr="217B90B1" w:rsidR="217B90B1">
        <w:rPr>
          <w:rFonts w:ascii="Calibri" w:hAnsi="Calibri" w:eastAsia="Calibri" w:cs="Calibri"/>
          <w:noProof w:val="0"/>
          <w:color w:val="2F5496" w:themeColor="accent1" w:themeTint="FF" w:themeShade="BF"/>
          <w:sz w:val="28"/>
          <w:szCs w:val="28"/>
          <w:lang w:val="el-GR"/>
        </w:rPr>
        <w:t xml:space="preserve"> </w:t>
      </w:r>
      <w:r w:rsidRPr="217B90B1" w:rsidR="217B90B1">
        <w:rPr>
          <w:rFonts w:ascii="Calibri" w:hAnsi="Calibri" w:eastAsia="Calibri" w:cs="Calibri"/>
          <w:b w:val="1"/>
          <w:bCs w:val="1"/>
          <w:noProof w:val="0"/>
          <w:color w:val="2F5496" w:themeColor="accent1" w:themeTint="FF" w:themeShade="BF"/>
          <w:sz w:val="28"/>
          <w:szCs w:val="28"/>
          <w:lang w:val="el-GR"/>
        </w:rPr>
        <w:t>ΝΑ ΕΙΝΑΙ Η ΛΑΪΚΗ ΑΠΑΝΤΗΣΗ ΣΤΗ «ΔΙΑ ΝΟΜΟΥ» ΜΕΤΑΦΟΡΑ ΤΟΥ ΚΑΖΙΝΟ ΠΑΡΝΗΘΑΣ ΣΤΟ ΜΑΡΟΥΣΙ</w:t>
      </w:r>
    </w:p>
    <w:p xmlns:wp14="http://schemas.microsoft.com/office/word/2010/wordml" w:rsidP="217B90B1" w14:paraId="0D47AB1D" wp14:textId="72C49BAF">
      <w:pPr>
        <w:spacing w:line="257" w:lineRule="auto"/>
        <w:jc w:val="center"/>
      </w:pPr>
      <w:r w:rsidRPr="217B90B1" w:rsidR="217B90B1">
        <w:rPr>
          <w:rFonts w:ascii="Calibri" w:hAnsi="Calibri" w:eastAsia="Calibri" w:cs="Calibri"/>
          <w:noProof w:val="0"/>
          <w:sz w:val="28"/>
          <w:szCs w:val="28"/>
          <w:lang w:val="en-US"/>
        </w:rPr>
        <w:t xml:space="preserve"> </w:t>
      </w:r>
    </w:p>
    <w:p xmlns:wp14="http://schemas.microsoft.com/office/word/2010/wordml" w:rsidP="217B90B1" w14:paraId="717AE852" wp14:textId="3C8AE4F5">
      <w:pPr>
        <w:spacing w:line="257" w:lineRule="auto"/>
        <w:jc w:val="both"/>
      </w:pPr>
      <w:r w:rsidRPr="217B90B1" w:rsidR="217B90B1">
        <w:rPr>
          <w:rFonts w:ascii="Calibri" w:hAnsi="Calibri" w:eastAsia="Calibri" w:cs="Calibri"/>
          <w:noProof w:val="0"/>
          <w:sz w:val="22"/>
          <w:szCs w:val="22"/>
          <w:lang w:val="el-GR"/>
        </w:rPr>
        <w:t xml:space="preserve">«Πριν αλέκτορα φωνήσαι», επιβεβαιώθηκε η εκτίμηση της Τομεακής Επιτροπής Βόρειου Τομέα του ΚΚΕ για το εγκληματικό σχέδιο μεταφοράς του καζίνο Πάρνηθας στο κτήμα Δηλαβέρη, στο Μαρούσι. Κόντρα στους πανηγυρισμούς, υποκριτικοί πολλοί από αυτούς, για την προσωρινή όπως αποδείχτηκε ακύρωση της σχετικής διαδικασίας, η από 21.1.21 ανακοίνωση της Τομεακής Επιτροπής ήταν ξεκάθαρη: </w:t>
      </w:r>
    </w:p>
    <w:p xmlns:wp14="http://schemas.microsoft.com/office/word/2010/wordml" w:rsidP="217B90B1" w14:paraId="7754FAF6" wp14:textId="74FB5775">
      <w:pPr>
        <w:spacing w:line="257" w:lineRule="auto"/>
        <w:jc w:val="both"/>
      </w:pPr>
      <w:r w:rsidRPr="217B90B1" w:rsidR="217B90B1">
        <w:rPr>
          <w:rFonts w:ascii="Calibri" w:hAnsi="Calibri" w:eastAsia="Calibri" w:cs="Calibri"/>
          <w:noProof w:val="0"/>
          <w:sz w:val="22"/>
          <w:szCs w:val="22"/>
          <w:lang w:val="el-GR"/>
        </w:rPr>
        <w:t>«</w:t>
      </w:r>
      <w:r w:rsidRPr="217B90B1" w:rsidR="217B90B1">
        <w:rPr>
          <w:rFonts w:ascii="Calibri" w:hAnsi="Calibri" w:eastAsia="Calibri" w:cs="Calibri"/>
          <w:i w:val="1"/>
          <w:iCs w:val="1"/>
          <w:noProof w:val="0"/>
          <w:sz w:val="22"/>
          <w:szCs w:val="22"/>
          <w:lang w:val="el-GR"/>
        </w:rPr>
        <w:t xml:space="preserve">Η πρόσφατη απόφαση του Συμβουλίου της Επικρατείας που έκρινε ως αντισυνταγματικό το νόμο για μετεγκατάσταση του Καζίνο από την Πάρνηθα στο Μαρούσι, </w:t>
      </w:r>
      <w:r w:rsidRPr="217B90B1" w:rsidR="217B90B1">
        <w:rPr>
          <w:rFonts w:ascii="Calibri" w:hAnsi="Calibri" w:eastAsia="Calibri" w:cs="Calibri"/>
          <w:b w:val="1"/>
          <w:bCs w:val="1"/>
          <w:i w:val="1"/>
          <w:iCs w:val="1"/>
          <w:noProof w:val="0"/>
          <w:sz w:val="22"/>
          <w:szCs w:val="22"/>
          <w:lang w:val="el-GR"/>
        </w:rPr>
        <w:t>όχι μόνο δε μας καθησυχάζει αλλά πρέπει να θέσει σε αγωνιστική ετοιμότητα τους φορείς και το λαό της περιοχής</w:t>
      </w:r>
      <w:r w:rsidRPr="217B90B1" w:rsidR="217B90B1">
        <w:rPr>
          <w:rFonts w:ascii="Calibri" w:hAnsi="Calibri" w:eastAsia="Calibri" w:cs="Calibri"/>
          <w:i w:val="1"/>
          <w:iCs w:val="1"/>
          <w:noProof w:val="0"/>
          <w:sz w:val="22"/>
          <w:szCs w:val="22"/>
          <w:lang w:val="el-GR"/>
        </w:rPr>
        <w:t>. Μέχρι την δημοσίευση ολόκληρης της απόφασης, το δημοσιευμένο σκεπτικό της απόφασης του ΣτΕ δεν αμφισβητεί τη χωροθέτηση, τα χαρακτηριστικά και λοιπούς όρους (περιβαλλοντικούς, πολεοδομικούς κλπ.) της επένδυσης αλλά μόνο την τήρηση των όρων ανταγωνισμού για το «ιδιοκτησιακό» καθεστώς της επένδυσης. Θεωρεί ότι οι ρυθμίσεις του Ν.4499/2017 δημιουργούν ‘’απόκλιση από την πάγια διαδικασία χορήγησης των αδειών λειτουργίας καζίνο, η οποία προβλέπει, διαχρονικώς, τη διενέργεια πλειοδοτικού διαγωνισμού’’</w:t>
      </w:r>
      <w:r w:rsidRPr="217B90B1" w:rsidR="217B90B1">
        <w:rPr>
          <w:rFonts w:ascii="Calibri" w:hAnsi="Calibri" w:eastAsia="Calibri" w:cs="Calibri"/>
          <w:noProof w:val="0"/>
          <w:sz w:val="22"/>
          <w:szCs w:val="22"/>
          <w:lang w:val="el-GR"/>
        </w:rPr>
        <w:t>».</w:t>
      </w:r>
    </w:p>
    <w:p xmlns:wp14="http://schemas.microsoft.com/office/word/2010/wordml" w:rsidP="217B90B1" w14:paraId="797664A3" wp14:textId="0587AF9C">
      <w:pPr>
        <w:spacing w:line="257" w:lineRule="auto"/>
        <w:jc w:val="both"/>
      </w:pPr>
      <w:r w:rsidRPr="217B90B1" w:rsidR="217B90B1">
        <w:rPr>
          <w:rFonts w:ascii="Calibri" w:hAnsi="Calibri" w:eastAsia="Calibri" w:cs="Calibri"/>
          <w:noProof w:val="0"/>
          <w:sz w:val="22"/>
          <w:szCs w:val="22"/>
          <w:lang w:val="el-GR"/>
        </w:rPr>
        <w:t xml:space="preserve">Άλλωστε, η πρώτη αντίδραση της «Ελληνικό Καζίνο Πάρνηθας ΑΕ» ήταν αποκαλυπτική: </w:t>
      </w:r>
      <w:r w:rsidRPr="217B90B1" w:rsidR="217B90B1">
        <w:rPr>
          <w:rFonts w:ascii="Calibri" w:hAnsi="Calibri" w:eastAsia="Calibri" w:cs="Calibri"/>
          <w:noProof w:val="0"/>
          <w:color w:val="000000" w:themeColor="text1" w:themeTint="FF" w:themeShade="FF"/>
          <w:sz w:val="22"/>
          <w:szCs w:val="22"/>
          <w:lang w:val="el-GR"/>
        </w:rPr>
        <w:t xml:space="preserve">«… </w:t>
      </w:r>
      <w:r w:rsidRPr="217B90B1" w:rsidR="217B90B1">
        <w:rPr>
          <w:rFonts w:ascii="Calibri" w:hAnsi="Calibri" w:eastAsia="Calibri" w:cs="Calibri"/>
          <w:i w:val="1"/>
          <w:iCs w:val="1"/>
          <w:noProof w:val="0"/>
          <w:color w:val="000000" w:themeColor="text1" w:themeTint="FF" w:themeShade="FF"/>
          <w:sz w:val="22"/>
          <w:szCs w:val="22"/>
          <w:lang w:val="el-GR"/>
        </w:rPr>
        <w:t xml:space="preserve">τα οριζόμενα από το ΣτΕ θα εφαρμοστούν στο ακέραιο. Δεδομένου ότι … </w:t>
      </w:r>
      <w:r w:rsidRPr="217B90B1" w:rsidR="217B90B1">
        <w:rPr>
          <w:rFonts w:ascii="Calibri" w:hAnsi="Calibri" w:eastAsia="Calibri" w:cs="Calibri"/>
          <w:b w:val="1"/>
          <w:bCs w:val="1"/>
          <w:i w:val="1"/>
          <w:iCs w:val="1"/>
          <w:noProof w:val="0"/>
          <w:color w:val="000000" w:themeColor="text1" w:themeTint="FF" w:themeShade="FF"/>
          <w:sz w:val="22"/>
          <w:szCs w:val="22"/>
          <w:lang w:val="el-GR"/>
        </w:rPr>
        <w:t>εκτιμάται ότι δεν ανακόπτεται η διαδικασία υλοποίησης του έργου,</w:t>
      </w:r>
      <w:r w:rsidRPr="217B90B1" w:rsidR="217B90B1">
        <w:rPr>
          <w:rFonts w:ascii="Calibri" w:hAnsi="Calibri" w:eastAsia="Calibri" w:cs="Calibri"/>
          <w:i w:val="1"/>
          <w:iCs w:val="1"/>
          <w:noProof w:val="0"/>
          <w:color w:val="000000" w:themeColor="text1" w:themeTint="FF" w:themeShade="FF"/>
          <w:sz w:val="22"/>
          <w:szCs w:val="22"/>
          <w:lang w:val="el-GR"/>
        </w:rPr>
        <w:t xml:space="preserve"> όπως άλλωστε φαίνεται και από τις πρόσφατες εγκρίσεις του Συμβουλίου Μητροπολιτικού Σχεδιασμού για την αδειοδότηση της επένδυσης,</w:t>
      </w:r>
      <w:r w:rsidRPr="217B90B1" w:rsidR="217B90B1">
        <w:rPr>
          <w:rFonts w:ascii="Calibri" w:hAnsi="Calibri" w:eastAsia="Calibri" w:cs="Calibri"/>
          <w:noProof w:val="0"/>
          <w:color w:val="000000" w:themeColor="text1" w:themeTint="FF" w:themeShade="FF"/>
          <w:sz w:val="22"/>
          <w:szCs w:val="22"/>
          <w:lang w:val="el-GR"/>
        </w:rPr>
        <w:t xml:space="preserve"> …».</w:t>
      </w:r>
    </w:p>
    <w:p xmlns:wp14="http://schemas.microsoft.com/office/word/2010/wordml" w:rsidP="217B90B1" w14:paraId="74D1A009" wp14:textId="0C5A76FB">
      <w:pPr>
        <w:spacing w:line="257" w:lineRule="auto"/>
        <w:jc w:val="both"/>
      </w:pPr>
      <w:r w:rsidRPr="217B90B1" w:rsidR="217B90B1">
        <w:rPr>
          <w:rFonts w:ascii="Calibri" w:hAnsi="Calibri" w:eastAsia="Calibri" w:cs="Calibri"/>
          <w:noProof w:val="0"/>
          <w:color w:val="000000" w:themeColor="text1" w:themeTint="FF" w:themeShade="FF"/>
          <w:sz w:val="22"/>
          <w:szCs w:val="22"/>
          <w:lang w:val="el-GR"/>
        </w:rPr>
        <w:t>Κατόπιν της βολικής αυτής ακυρωτικής απόφασης για τους επίδοξους όσο και επώνυμους μεγαλοεπενδυτές, το επόμενο βήμα από την κυβέρνηση ήταν το αναμενόμενο: Μια προχτεσινή (30.3.21) φωτογραφική τροπολογία σε άσχετο νομοσχέδιο (τη φορά αυτή σχετικό με τον κορονοϊό) και όλα καλά! «Παλιά μου τέχνη κόσκινο» που λέει κι ο λαός μας. «Τέχνη», που στην περίπτωση της μετεγκατάστασης του Καζίνο την ανέβασε στα ύψη ο ΣΥΡΙΖΑ, «προίκα» στη ΝΔ.</w:t>
      </w:r>
    </w:p>
    <w:p xmlns:wp14="http://schemas.microsoft.com/office/word/2010/wordml" w:rsidP="217B90B1" w14:paraId="1D5CA4F6" wp14:textId="61A5BED1">
      <w:pPr>
        <w:spacing w:line="257" w:lineRule="auto"/>
        <w:jc w:val="both"/>
      </w:pPr>
      <w:r w:rsidRPr="217B90B1" w:rsidR="217B90B1">
        <w:rPr>
          <w:rFonts w:ascii="Calibri" w:hAnsi="Calibri" w:eastAsia="Calibri" w:cs="Calibri"/>
          <w:noProof w:val="0"/>
          <w:color w:val="000000" w:themeColor="text1" w:themeTint="FF" w:themeShade="FF"/>
          <w:sz w:val="22"/>
          <w:szCs w:val="22"/>
          <w:lang w:val="el-GR"/>
        </w:rPr>
        <w:t>Μπροστά στην εξέλιξη αυτή άρχισαν κι όλα να εμφανίζονται οι πρώτες δηλώσεις «βαθιάς απογοήτευσης» συνοδευόμενες με σχετικές δόσεις «έκπληξης» από αιρετούς ταγούς του συστήματος. Που δεν κουράζονται να δείχνουν τον έωλο μονόδρομο των αποπροσανατολιστικών «νομικών κινήσεων», με το λαϊκό παράγοντα να τον θέλουν σε ρόλο «γλάστρας» στις όποιες για το θεαθήναι παρεμβάσεις τους. Που προβάλλουν σαν μεμονωμένα συμβάντα τέτοιου είδους φιλομονοπωλιακές επιλογές των εκάστοτε κυβερνήσεων, ξεκομμένα δήθεν από το στρατηγικό σχεδιασμό της αστικής τάξης για επενδύσεις με αποκλειστικό κριτήριο ικανοποιητικά για το κεφάλαιο κέρδη, σε βάρος του περιβάλλοντος, της υγείας και των άλλων όρων διαβίωσης της εργατικής τάξης, των λαϊκών στρωμάτων.</w:t>
      </w:r>
    </w:p>
    <w:p xmlns:wp14="http://schemas.microsoft.com/office/word/2010/wordml" w:rsidP="217B90B1" w14:paraId="0842C03A" wp14:textId="38A0CFAB">
      <w:pPr>
        <w:spacing w:line="257" w:lineRule="auto"/>
        <w:jc w:val="both"/>
      </w:pPr>
      <w:r w:rsidRPr="217B90B1" w:rsidR="217B90B1">
        <w:rPr>
          <w:rFonts w:ascii="Calibri" w:hAnsi="Calibri" w:eastAsia="Calibri" w:cs="Calibri"/>
          <w:noProof w:val="0"/>
          <w:color w:val="000000" w:themeColor="text1" w:themeTint="FF" w:themeShade="FF"/>
          <w:sz w:val="22"/>
          <w:szCs w:val="22"/>
          <w:lang w:val="el-GR"/>
        </w:rPr>
        <w:t xml:space="preserve"> Στην αντίπερα όχθη το μαζικό κίνημα, και στο Μαρούσι, έχει αποκτήσει σημαντική πια πείρα ότι με … «λόγια δεν βάφονται αυγά». Συνειδητοποιεί όλο και περισσότερο ότι απέναντί του δεν έχει απλά κάποιους «κακούς», «ανίκανους», «αναξιόπιστους» ή όπως αλλιώς βολεύει το σύστημα να βαφτίζονται κεντρικοί και τοπικοί πολιτικοί του εκπρόσωποι. Ότι έχει να κάνει με ένα κρατικό σύστημα με όλους τους θεσμούς και κρίκους του να συντονίζονται στον κοινό στόχο: Την όλο και μεγαλύτερη εκμετάλλευση της εργατικής του δύναμης, την παραπέρα αφαίμαξη του λεηλατημένου εισοδήματός του, την υποβάθμιση της όποιας ποιότητας ζωής του απόμεινε, τη συνεχιζόμενη τσιμεντοποίηση των ελάχιστον ελεύθερων χώρων που μπόρεσε να προασπίσει μέχρι σήμερα. Αντιλαμβάνεται ότι αισθήματα έκπληξης, απογοήτευσης αλλά και ανέξοδης αγανάκτησης το μόνο που κάνουν είναι να ρίχνουν νερό στο μύλο των αντιλαϊκών τους σχεδιασμών. </w:t>
      </w:r>
    </w:p>
    <w:p xmlns:wp14="http://schemas.microsoft.com/office/word/2010/wordml" w:rsidP="217B90B1" w14:paraId="3A3ECAF7" wp14:textId="1C592B8B">
      <w:pPr>
        <w:spacing w:line="257" w:lineRule="auto"/>
        <w:jc w:val="both"/>
      </w:pPr>
      <w:r w:rsidRPr="217B90B1" w:rsidR="217B90B1">
        <w:rPr>
          <w:rFonts w:ascii="Calibri" w:hAnsi="Calibri" w:eastAsia="Calibri" w:cs="Calibri"/>
          <w:b w:val="1"/>
          <w:bCs w:val="1"/>
          <w:noProof w:val="0"/>
          <w:color w:val="000000" w:themeColor="text1" w:themeTint="FF" w:themeShade="FF"/>
          <w:sz w:val="22"/>
          <w:szCs w:val="22"/>
          <w:lang w:val="el-GR"/>
        </w:rPr>
        <w:t xml:space="preserve">Αρχίζει να συνειδητοποιεί ότι πρέπει να συγκροτήσει τη δική του οργανωμένη, αποτελεσματική άμυνα απέναντί τους, ικανή να κλιμακωθεί σε αγωνιστική διεκδίκηση και κατάκτηση δικαιωμάτων που του στερούν. </w:t>
      </w:r>
      <w:r w:rsidRPr="217B90B1" w:rsidR="217B90B1">
        <w:rPr>
          <w:rFonts w:ascii="Calibri" w:hAnsi="Calibri" w:eastAsia="Calibri" w:cs="Calibri"/>
          <w:b w:val="1"/>
          <w:bCs w:val="1"/>
          <w:noProof w:val="0"/>
          <w:color w:val="000000" w:themeColor="text1" w:themeTint="FF" w:themeShade="FF"/>
          <w:sz w:val="22"/>
          <w:szCs w:val="22"/>
          <w:lang w:val="en-US"/>
        </w:rPr>
        <w:t>N</w:t>
      </w:r>
      <w:r w:rsidRPr="217B90B1" w:rsidR="217B90B1">
        <w:rPr>
          <w:rFonts w:ascii="Calibri" w:hAnsi="Calibri" w:eastAsia="Calibri" w:cs="Calibri"/>
          <w:b w:val="1"/>
          <w:bCs w:val="1"/>
          <w:noProof w:val="0"/>
          <w:color w:val="000000" w:themeColor="text1" w:themeTint="FF" w:themeShade="FF"/>
          <w:sz w:val="22"/>
          <w:szCs w:val="22"/>
          <w:lang w:val="el-GR"/>
        </w:rPr>
        <w:t>α πάρει τελικά την κατάσταση στα χέρια του</w:t>
      </w:r>
      <w:r w:rsidRPr="217B90B1" w:rsidR="217B90B1">
        <w:rPr>
          <w:rFonts w:ascii="Calibri" w:hAnsi="Calibri" w:eastAsia="Calibri" w:cs="Calibri"/>
          <w:b w:val="1"/>
          <w:bCs w:val="1"/>
          <w:noProof w:val="0"/>
          <w:color w:val="000000" w:themeColor="text1" w:themeTint="FF" w:themeShade="FF"/>
          <w:sz w:val="22"/>
          <w:szCs w:val="22"/>
          <w:lang w:val="en-US"/>
        </w:rPr>
        <w:t>!</w:t>
      </w:r>
    </w:p>
    <w:p xmlns:wp14="http://schemas.microsoft.com/office/word/2010/wordml" w:rsidP="217B90B1" w14:paraId="003F6272" wp14:textId="412802CC">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B2F6FF0"/>
    <w:rsid w:val="217B90B1"/>
    <w:rsid w:val="7B2F6F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6FF0"/>
  <w15:chartTrackingRefBased/>
  <w15:docId w15:val="{9cfd0dce-7b3b-4ecc-8af7-dc1f82dc39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2021-04-01T11:21:01.1972993Z</dcterms:created>
  <dcterms:modified xsi:type="dcterms:W3CDTF">2021-04-01T11:21:33.0955540Z</dcterms:modified>
  <dc:creator>Αθανάσιος Γιαννόπουλος</dc:creator>
  <lastModifiedBy>Αθανάσιος Γιαννόπουλος</lastModifiedBy>
</coreProperties>
</file>