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AE" w:rsidRPr="000F555D" w:rsidRDefault="003206AE">
      <w:pPr>
        <w:pStyle w:val="normal"/>
        <w:ind w:left="566" w:right="418"/>
        <w:jc w:val="center"/>
        <w:rPr>
          <w:rFonts w:asciiTheme="majorHAnsi" w:hAnsiTheme="majorHAnsi"/>
          <w:b/>
          <w:shadow/>
        </w:rPr>
      </w:pPr>
    </w:p>
    <w:p w:rsidR="003206AE" w:rsidRPr="000F555D" w:rsidRDefault="000F555D">
      <w:pPr>
        <w:pStyle w:val="normal"/>
        <w:spacing w:line="360" w:lineRule="auto"/>
        <w:ind w:left="141" w:right="-1"/>
        <w:jc w:val="center"/>
        <w:rPr>
          <w:rFonts w:asciiTheme="majorHAnsi" w:hAnsiTheme="majorHAnsi"/>
          <w:b/>
          <w:shadow/>
          <w:color w:val="31849B" w:themeColor="accent5" w:themeShade="BF"/>
          <w:sz w:val="28"/>
          <w:szCs w:val="28"/>
        </w:rPr>
      </w:pPr>
      <w:r w:rsidRPr="000F555D">
        <w:rPr>
          <w:rFonts w:asciiTheme="majorHAnsi" w:hAnsiTheme="majorHAnsi"/>
          <w:b/>
          <w:shadow/>
          <w:color w:val="31849B" w:themeColor="accent5" w:themeShade="BF"/>
          <w:sz w:val="28"/>
          <w:szCs w:val="28"/>
        </w:rPr>
        <w:t>Ανταποδοτικό τέλος 0,50€/τ.μ.</w:t>
      </w:r>
    </w:p>
    <w:p w:rsidR="003206AE" w:rsidRPr="000F555D" w:rsidRDefault="000F555D">
      <w:pPr>
        <w:pStyle w:val="normal"/>
        <w:spacing w:line="360" w:lineRule="auto"/>
        <w:ind w:left="141" w:right="-1"/>
        <w:jc w:val="center"/>
        <w:rPr>
          <w:rFonts w:asciiTheme="majorHAnsi" w:hAnsiTheme="majorHAnsi"/>
          <w:b/>
          <w:shadow/>
          <w:color w:val="31849B" w:themeColor="accent5" w:themeShade="BF"/>
          <w:sz w:val="28"/>
          <w:szCs w:val="28"/>
          <w:lang w:val="en-US"/>
        </w:rPr>
      </w:pPr>
      <w:r w:rsidRPr="000F555D">
        <w:rPr>
          <w:rFonts w:asciiTheme="majorHAnsi" w:hAnsiTheme="majorHAnsi"/>
          <w:b/>
          <w:shadow/>
          <w:color w:val="31849B" w:themeColor="accent5" w:themeShade="BF"/>
          <w:sz w:val="28"/>
          <w:szCs w:val="28"/>
        </w:rPr>
        <w:t>Ο διαχρονικός εσωτερικός δανεισμός και η υποχρέωση μηδε</w:t>
      </w:r>
      <w:r>
        <w:rPr>
          <w:rFonts w:asciiTheme="majorHAnsi" w:hAnsiTheme="majorHAnsi"/>
          <w:b/>
          <w:shadow/>
          <w:color w:val="31849B" w:themeColor="accent5" w:themeShade="BF"/>
          <w:sz w:val="28"/>
          <w:szCs w:val="28"/>
        </w:rPr>
        <w:t>νισμού του σχετικού ελλείμματος</w:t>
      </w:r>
    </w:p>
    <w:p w:rsidR="003206AE" w:rsidRPr="000F555D" w:rsidRDefault="003206AE">
      <w:pPr>
        <w:pStyle w:val="normal"/>
        <w:spacing w:line="360" w:lineRule="auto"/>
        <w:ind w:left="141" w:right="-1"/>
        <w:jc w:val="both"/>
        <w:rPr>
          <w:rFonts w:asciiTheme="majorHAnsi" w:hAnsiTheme="majorHAnsi"/>
          <w:shadow/>
        </w:rPr>
      </w:pPr>
    </w:p>
    <w:p w:rsidR="003206AE" w:rsidRPr="000F555D" w:rsidRDefault="000F555D">
      <w:pPr>
        <w:pStyle w:val="normal"/>
        <w:spacing w:line="360" w:lineRule="auto"/>
        <w:ind w:left="141" w:right="-1"/>
        <w:jc w:val="both"/>
        <w:rPr>
          <w:rFonts w:asciiTheme="majorHAnsi" w:hAnsiTheme="majorHAnsi"/>
          <w:shadow/>
        </w:rPr>
      </w:pPr>
      <w:r w:rsidRPr="000F555D">
        <w:rPr>
          <w:rFonts w:asciiTheme="majorHAnsi" w:hAnsiTheme="majorHAnsi"/>
          <w:shadow/>
        </w:rPr>
        <w:t xml:space="preserve">Στις 25/07/2007, το Δημοτικό Συμβούλιο του Δήμου Μελισσίων, με σχετική εισήγηση του τέως Δημάρχου Μελισσίων Μ. Γραφάκου με την </w:t>
      </w:r>
      <w:hyperlink r:id="rId5">
        <w:r w:rsidRPr="000F555D">
          <w:rPr>
            <w:rFonts w:asciiTheme="majorHAnsi" w:hAnsiTheme="majorHAnsi"/>
            <w:shadow/>
            <w:color w:val="1155CC"/>
            <w:u w:val="single"/>
          </w:rPr>
          <w:t>ΑΔΣ 308/2007</w:t>
        </w:r>
      </w:hyperlink>
      <w:r w:rsidRPr="000F555D">
        <w:rPr>
          <w:rFonts w:asciiTheme="majorHAnsi" w:hAnsiTheme="majorHAnsi"/>
          <w:shadow/>
        </w:rPr>
        <w:t>, ενέκρινε την επιβολή ανταποδοτικού τέλους 0,50 €/τ.μ το χρόνο σε συνείσπραξη με τα τέλη καθαριότητας, για έργα και απαλλοτριώσεις, προκειμένου ο</w:t>
      </w:r>
      <w:r w:rsidRPr="000F555D">
        <w:rPr>
          <w:rFonts w:asciiTheme="majorHAnsi" w:hAnsiTheme="majorHAnsi"/>
          <w:shadow/>
        </w:rPr>
        <w:t xml:space="preserve"> τότε Δήμος Μελισσίων να εξασφαλίσει χώρους πρασίνου, παιδικές χαρές, χώρους στάθμευσης, αλλά και κοινωφελείς χώρους που θα στεγάσουν παιδικούς σταθμούς, πολιτιστικές και κοινωνικές δραστηριότητες. Η διάρκεια επιβολής του ανταποδοτικού τέλους ορίστηκε στα </w:t>
      </w:r>
      <w:r w:rsidRPr="000F555D">
        <w:rPr>
          <w:rFonts w:asciiTheme="majorHAnsi" w:hAnsiTheme="majorHAnsi"/>
          <w:shadow/>
        </w:rPr>
        <w:t>20 χρόνια.</w:t>
      </w:r>
    </w:p>
    <w:p w:rsidR="003206AE" w:rsidRPr="000F555D" w:rsidRDefault="000F555D">
      <w:pPr>
        <w:pStyle w:val="normal"/>
        <w:spacing w:line="360" w:lineRule="auto"/>
        <w:ind w:left="141" w:right="-1"/>
        <w:jc w:val="both"/>
        <w:rPr>
          <w:rFonts w:asciiTheme="majorHAnsi" w:hAnsiTheme="majorHAnsi"/>
          <w:shadow/>
        </w:rPr>
      </w:pPr>
      <w:r w:rsidRPr="000F555D">
        <w:rPr>
          <w:rFonts w:asciiTheme="majorHAnsi" w:hAnsiTheme="majorHAnsi"/>
          <w:shadow/>
        </w:rPr>
        <w:t>Η επιβολή του ανταποδοτικού τέλους 0,50€/τ.μ ξεκίνησε κατά το 2008 από τον Δήμο Μελισσίων και εφαρμόζεται μέχρι και σήμερα, 13 χρόνια μετά, από το Δήμο Πεντέλης, αλλά μόνο για τα κτίρια εντός της Δ.Κ. Μελισσίων. Διαχρονικά, τα έσοδα από το συγκε</w:t>
      </w:r>
      <w:r w:rsidRPr="000F555D">
        <w:rPr>
          <w:rFonts w:asciiTheme="majorHAnsi" w:hAnsiTheme="majorHAnsi"/>
          <w:shadow/>
        </w:rPr>
        <w:t>κριμένο ανταποδοτικό τέλος δεν χρησιμοποιήθηκαν αποκλειστικά για τους σκοπούς που ανέφερε η σχετική απόφαση, αλλά κάλυπταν άλλες δαπάνες είτε σε καιρούς παχιών αγελάδων (2008-2010 επί δημαρχίας Μ. Γραφάκου στο Δήμο Μελισσίων) είτε σε καιρούς μνημονιακούς κ</w:t>
      </w:r>
      <w:r w:rsidRPr="000F555D">
        <w:rPr>
          <w:rFonts w:asciiTheme="majorHAnsi" w:hAnsiTheme="majorHAnsi"/>
          <w:shadow/>
        </w:rPr>
        <w:t>αι υπό το βάρος μεγάλων υποχρεώσεων που είχε αναλάβει κατά την εκκίνηση λειτουργίας του ο Καλλικρατικός Δήμος Πεντέλης (2011-2019 επί δημαρχίας Δ. Στεργίου), παραλαμβάνοντας μηδενικό ταμειακό υπόλοιπο του συγκεκριμένου ανταποδοτικού τέλους, από τη διοίκηση</w:t>
      </w:r>
      <w:r w:rsidRPr="000F555D">
        <w:rPr>
          <w:rFonts w:asciiTheme="majorHAnsi" w:hAnsiTheme="majorHAnsi"/>
          <w:shadow/>
        </w:rPr>
        <w:t xml:space="preserve"> Μ. Γραφάκου.</w:t>
      </w:r>
    </w:p>
    <w:p w:rsidR="003206AE" w:rsidRPr="000F555D" w:rsidRDefault="000F555D">
      <w:pPr>
        <w:pStyle w:val="normal"/>
        <w:spacing w:line="360" w:lineRule="auto"/>
        <w:ind w:left="141" w:right="-1"/>
        <w:jc w:val="both"/>
        <w:rPr>
          <w:rFonts w:asciiTheme="majorHAnsi" w:hAnsiTheme="majorHAnsi"/>
          <w:shadow/>
        </w:rPr>
      </w:pPr>
      <w:r w:rsidRPr="000F555D">
        <w:rPr>
          <w:rFonts w:asciiTheme="majorHAnsi" w:hAnsiTheme="majorHAnsi"/>
          <w:shadow/>
        </w:rPr>
        <w:t xml:space="preserve">Το συγκεκριμένο θέμα έχει αναδειχθεί δημόσια, από εμένα προσωπικά, τα τελευταία τρία χρόνια α) </w:t>
      </w:r>
      <w:hyperlink r:id="rId6">
        <w:r w:rsidRPr="000F555D">
          <w:rPr>
            <w:rFonts w:asciiTheme="majorHAnsi" w:hAnsiTheme="majorHAnsi"/>
            <w:shadow/>
            <w:color w:val="1155CC"/>
            <w:u w:val="single"/>
          </w:rPr>
          <w:t>Νοέμβρης 2018: κοινή ανακοίνωση με Ε. Μπουσίου και Α. Μπούσουλα</w:t>
        </w:r>
      </w:hyperlink>
      <w:r w:rsidRPr="000F555D">
        <w:rPr>
          <w:rFonts w:asciiTheme="majorHAnsi" w:hAnsiTheme="majorHAnsi"/>
          <w:shadow/>
        </w:rPr>
        <w:t xml:space="preserve">, β) </w:t>
      </w:r>
      <w:hyperlink r:id="rId7">
        <w:r w:rsidRPr="000F555D">
          <w:rPr>
            <w:rFonts w:asciiTheme="majorHAnsi" w:hAnsiTheme="majorHAnsi"/>
            <w:shadow/>
            <w:color w:val="1155CC"/>
            <w:u w:val="single"/>
          </w:rPr>
          <w:t>Φεβρουάριος 2019</w:t>
        </w:r>
      </w:hyperlink>
      <w:r w:rsidRPr="000F555D">
        <w:rPr>
          <w:rFonts w:asciiTheme="majorHAnsi" w:hAnsiTheme="majorHAnsi"/>
          <w:shadow/>
        </w:rPr>
        <w:t xml:space="preserve">, γ) </w:t>
      </w:r>
      <w:hyperlink r:id="rId8">
        <w:r w:rsidRPr="000F555D">
          <w:rPr>
            <w:rFonts w:asciiTheme="majorHAnsi" w:hAnsiTheme="majorHAnsi"/>
            <w:shadow/>
            <w:color w:val="1155CC"/>
            <w:u w:val="single"/>
          </w:rPr>
          <w:t>Ιανουάριος 2020</w:t>
        </w:r>
      </w:hyperlink>
      <w:r w:rsidRPr="000F555D">
        <w:rPr>
          <w:rFonts w:asciiTheme="majorHAnsi" w:hAnsiTheme="majorHAnsi"/>
          <w:shadow/>
        </w:rPr>
        <w:t>) ως το μεγαλύτερο πρόβλημα του Δήμου Πεντέλης και συμβάλλει στην στρεβλή αποτύπωση της οικονομικής κατάστα</w:t>
      </w:r>
      <w:r w:rsidRPr="000F555D">
        <w:rPr>
          <w:rFonts w:asciiTheme="majorHAnsi" w:hAnsiTheme="majorHAnsi"/>
          <w:shadow/>
        </w:rPr>
        <w:t xml:space="preserve">σης του Δήμου μας. Παράλληλα, σε σχετικά έγγραφα ερωτήματα που έχω απευθύνει στην Οικονομική Υπηρεσία του Δήμου Πεντέλης, έχουν δοθεί δύο ΕΠΙΣΗΜΕΣ ΓΡΑΠΤΕΣ ΑΠΑΝΤΗΣΕΙΣ για το θέμα, από τους εκάστοτε αρμόδιους πολιτικούς προϊσταμένους τους Δήμου Πεντέλης:  </w:t>
      </w:r>
    </w:p>
    <w:p w:rsidR="003206AE" w:rsidRPr="000F555D" w:rsidRDefault="000F555D">
      <w:pPr>
        <w:pStyle w:val="normal"/>
        <w:numPr>
          <w:ilvl w:val="0"/>
          <w:numId w:val="2"/>
        </w:numPr>
        <w:spacing w:line="360" w:lineRule="auto"/>
        <w:ind w:right="-1"/>
        <w:jc w:val="both"/>
        <w:rPr>
          <w:rFonts w:asciiTheme="majorHAnsi" w:hAnsiTheme="majorHAnsi"/>
          <w:shadow/>
        </w:rPr>
      </w:pPr>
      <w:r w:rsidRPr="000F555D">
        <w:rPr>
          <w:rFonts w:asciiTheme="majorHAnsi" w:hAnsiTheme="majorHAnsi"/>
          <w:shadow/>
        </w:rPr>
        <w:t>τ</w:t>
      </w:r>
      <w:r w:rsidRPr="000F555D">
        <w:rPr>
          <w:rFonts w:asciiTheme="majorHAnsi" w:hAnsiTheme="majorHAnsi"/>
          <w:shadow/>
        </w:rPr>
        <w:t xml:space="preserve">ο με αρ. πρωτ. </w:t>
      </w:r>
      <w:hyperlink r:id="rId9">
        <w:r w:rsidRPr="000F555D">
          <w:rPr>
            <w:rFonts w:asciiTheme="majorHAnsi" w:hAnsiTheme="majorHAnsi"/>
            <w:shadow/>
            <w:color w:val="1155CC"/>
            <w:u w:val="single"/>
          </w:rPr>
          <w:t>16332/24-10-2018</w:t>
        </w:r>
      </w:hyperlink>
      <w:r w:rsidRPr="000F555D">
        <w:rPr>
          <w:rFonts w:asciiTheme="majorHAnsi" w:hAnsiTheme="majorHAnsi"/>
          <w:shadow/>
        </w:rPr>
        <w:t xml:space="preserve"> απαντητικό έγγραφο του τότε Αντιδημάρχου Οικονομικών Υπηρεσιών του Δήμου Πεντέλης, κ. Δημοσθένη Παπακωνσταντίνου,</w:t>
      </w:r>
    </w:p>
    <w:p w:rsidR="003206AE" w:rsidRPr="000F555D" w:rsidRDefault="000F555D">
      <w:pPr>
        <w:pStyle w:val="normal"/>
        <w:numPr>
          <w:ilvl w:val="0"/>
          <w:numId w:val="2"/>
        </w:numPr>
        <w:spacing w:line="360" w:lineRule="auto"/>
        <w:ind w:right="-1"/>
        <w:jc w:val="both"/>
        <w:rPr>
          <w:rFonts w:asciiTheme="majorHAnsi" w:hAnsiTheme="majorHAnsi"/>
          <w:shadow/>
        </w:rPr>
      </w:pPr>
      <w:r w:rsidRPr="000F555D">
        <w:rPr>
          <w:rFonts w:asciiTheme="majorHAnsi" w:hAnsiTheme="majorHAnsi"/>
          <w:shadow/>
        </w:rPr>
        <w:t xml:space="preserve">το με αρ. </w:t>
      </w:r>
      <w:r w:rsidRPr="000F555D">
        <w:rPr>
          <w:rFonts w:asciiTheme="majorHAnsi" w:hAnsiTheme="majorHAnsi"/>
          <w:shadow/>
        </w:rPr>
        <w:t xml:space="preserve">πρωτ. </w:t>
      </w:r>
      <w:hyperlink r:id="rId10">
        <w:r w:rsidRPr="000F555D">
          <w:rPr>
            <w:rFonts w:asciiTheme="majorHAnsi" w:hAnsiTheme="majorHAnsi"/>
            <w:shadow/>
            <w:color w:val="1155CC"/>
            <w:u w:val="single"/>
          </w:rPr>
          <w:t>19243/04-11-2020</w:t>
        </w:r>
      </w:hyperlink>
      <w:r w:rsidRPr="000F555D">
        <w:rPr>
          <w:rFonts w:asciiTheme="majorHAnsi" w:hAnsiTheme="majorHAnsi"/>
          <w:shadow/>
        </w:rPr>
        <w:t xml:space="preserve"> απαντητικό έγγραφο του Γενικού Γραμματέα και υπεύθυνου για τα οικονομικά του Δήμου Πεντέλης, κ. Γεώργιου Καρβουνάκη.</w:t>
      </w:r>
    </w:p>
    <w:p w:rsidR="003206AE" w:rsidRPr="000F555D" w:rsidRDefault="000F555D">
      <w:pPr>
        <w:pStyle w:val="normal"/>
        <w:spacing w:line="360" w:lineRule="auto"/>
        <w:ind w:right="-1"/>
        <w:jc w:val="both"/>
        <w:rPr>
          <w:rFonts w:asciiTheme="majorHAnsi" w:hAnsiTheme="majorHAnsi"/>
          <w:shadow/>
        </w:rPr>
      </w:pPr>
      <w:r w:rsidRPr="000F555D">
        <w:rPr>
          <w:rFonts w:asciiTheme="majorHAnsi" w:hAnsiTheme="majorHAnsi"/>
          <w:shadow/>
        </w:rPr>
        <w:t>Με βάση τις παρα</w:t>
      </w:r>
      <w:r w:rsidRPr="000F555D">
        <w:rPr>
          <w:rFonts w:asciiTheme="majorHAnsi" w:hAnsiTheme="majorHAnsi"/>
          <w:shadow/>
        </w:rPr>
        <w:t>πάνω επίσημες απαντήσεις και τα απολογιστικά στοιχεία υλοποίησης των προϋπολογισμών που αντλήθηκαν από τη ΔΙΑΥΓΕΙΑ, η συνολική εικόνα εσόδων-εξόδων, λογιστικού και ταμειακού υπολοίπου καθώς και του σχετικού ελλείμματος για το ανταποδοτικό τέλος 0,50€/τ.μ.,</w:t>
      </w:r>
      <w:r w:rsidRPr="000F555D">
        <w:rPr>
          <w:rFonts w:asciiTheme="majorHAnsi" w:hAnsiTheme="majorHAnsi"/>
          <w:shadow/>
        </w:rPr>
        <w:t xml:space="preserve"> από 01/01/2008 μέχρι και 31/12/2019, είναι η παρακάτω:</w:t>
      </w:r>
    </w:p>
    <w:p w:rsidR="003206AE" w:rsidRPr="000F555D" w:rsidRDefault="003206AE">
      <w:pPr>
        <w:pStyle w:val="normal"/>
        <w:spacing w:line="360" w:lineRule="auto"/>
        <w:ind w:left="141" w:right="-1"/>
        <w:jc w:val="both"/>
        <w:rPr>
          <w:rFonts w:asciiTheme="majorHAnsi" w:hAnsiTheme="majorHAnsi"/>
          <w:shadow/>
        </w:rPr>
      </w:pPr>
    </w:p>
    <w:tbl>
      <w:tblPr>
        <w:tblStyle w:val="a5"/>
        <w:tblW w:w="10785" w:type="dxa"/>
        <w:tblInd w:w="-80" w:type="dxa"/>
        <w:tblBorders>
          <w:top w:val="nil"/>
          <w:left w:val="nil"/>
          <w:bottom w:val="nil"/>
          <w:right w:val="nil"/>
          <w:insideH w:val="nil"/>
          <w:insideV w:val="nil"/>
        </w:tblBorders>
        <w:tblLayout w:type="fixed"/>
        <w:tblLook w:val="0600"/>
      </w:tblPr>
      <w:tblGrid>
        <w:gridCol w:w="1515"/>
        <w:gridCol w:w="2130"/>
        <w:gridCol w:w="2265"/>
        <w:gridCol w:w="1845"/>
        <w:gridCol w:w="2385"/>
        <w:gridCol w:w="645"/>
      </w:tblGrid>
      <w:tr w:rsidR="003206AE" w:rsidRPr="000F555D">
        <w:trPr>
          <w:trHeight w:val="626"/>
        </w:trPr>
        <w:tc>
          <w:tcPr>
            <w:tcW w:w="10785" w:type="dxa"/>
            <w:gridSpan w:val="6"/>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06AE" w:rsidRPr="000F555D" w:rsidRDefault="000F555D">
            <w:pPr>
              <w:pStyle w:val="normal"/>
              <w:widowControl w:val="0"/>
              <w:jc w:val="center"/>
              <w:rPr>
                <w:rFonts w:asciiTheme="majorHAnsi" w:hAnsiTheme="majorHAnsi"/>
                <w:shadow/>
              </w:rPr>
            </w:pPr>
            <w:r w:rsidRPr="000F555D">
              <w:rPr>
                <w:rFonts w:asciiTheme="majorHAnsi" w:hAnsiTheme="majorHAnsi"/>
                <w:b/>
                <w:shadow/>
              </w:rPr>
              <w:lastRenderedPageBreak/>
              <w:t>ΑΝΤΑΠΟΔΟΤΙΚΟ ΤΕΛΟΣ 0,50 (01/01/2008 - 31/12/2019)</w:t>
            </w:r>
          </w:p>
        </w:tc>
      </w:tr>
      <w:tr w:rsidR="003206AE" w:rsidRPr="000F555D">
        <w:trPr>
          <w:trHeight w:val="885"/>
        </w:trPr>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06AE" w:rsidRPr="000F555D" w:rsidRDefault="003206AE">
            <w:pPr>
              <w:pStyle w:val="normal"/>
              <w:widowControl w:val="0"/>
              <w:rPr>
                <w:rFonts w:asciiTheme="majorHAnsi" w:hAnsiTheme="majorHAnsi"/>
                <w:shadow/>
              </w:rPr>
            </w:pP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06AE" w:rsidRPr="000F555D" w:rsidRDefault="000F555D">
            <w:pPr>
              <w:pStyle w:val="normal"/>
              <w:widowControl w:val="0"/>
              <w:jc w:val="center"/>
              <w:rPr>
                <w:rFonts w:asciiTheme="majorHAnsi" w:hAnsiTheme="majorHAnsi"/>
                <w:b/>
                <w:shadow/>
              </w:rPr>
            </w:pPr>
            <w:r w:rsidRPr="000F555D">
              <w:rPr>
                <w:rFonts w:asciiTheme="majorHAnsi" w:hAnsiTheme="majorHAnsi"/>
                <w:b/>
                <w:shadow/>
              </w:rPr>
              <w:t>ΓΡΑΦΑΚΟΣ</w:t>
            </w:r>
          </w:p>
          <w:p w:rsidR="003206AE" w:rsidRPr="000F555D" w:rsidRDefault="000F555D">
            <w:pPr>
              <w:pStyle w:val="normal"/>
              <w:widowControl w:val="0"/>
              <w:jc w:val="center"/>
              <w:rPr>
                <w:rFonts w:asciiTheme="majorHAnsi" w:hAnsiTheme="majorHAnsi"/>
                <w:b/>
                <w:shadow/>
              </w:rPr>
            </w:pPr>
            <w:r w:rsidRPr="000F555D">
              <w:rPr>
                <w:rFonts w:asciiTheme="majorHAnsi" w:hAnsiTheme="majorHAnsi"/>
                <w:b/>
                <w:shadow/>
              </w:rPr>
              <w:t>01/01/2008</w:t>
            </w:r>
          </w:p>
          <w:p w:rsidR="003206AE" w:rsidRPr="000F555D" w:rsidRDefault="000F555D">
            <w:pPr>
              <w:pStyle w:val="normal"/>
              <w:widowControl w:val="0"/>
              <w:jc w:val="center"/>
              <w:rPr>
                <w:rFonts w:asciiTheme="majorHAnsi" w:hAnsiTheme="majorHAnsi"/>
                <w:shadow/>
              </w:rPr>
            </w:pPr>
            <w:r w:rsidRPr="000F555D">
              <w:rPr>
                <w:rFonts w:asciiTheme="majorHAnsi" w:hAnsiTheme="majorHAnsi"/>
                <w:b/>
                <w:shadow/>
              </w:rPr>
              <w:t>31/12/2010</w:t>
            </w:r>
          </w:p>
        </w:tc>
        <w:tc>
          <w:tcPr>
            <w:tcW w:w="226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06AE" w:rsidRPr="000F555D" w:rsidRDefault="000F555D">
            <w:pPr>
              <w:pStyle w:val="normal"/>
              <w:widowControl w:val="0"/>
              <w:jc w:val="center"/>
              <w:rPr>
                <w:rFonts w:asciiTheme="majorHAnsi" w:hAnsiTheme="majorHAnsi"/>
                <w:b/>
                <w:shadow/>
              </w:rPr>
            </w:pPr>
            <w:r w:rsidRPr="000F555D">
              <w:rPr>
                <w:rFonts w:asciiTheme="majorHAnsi" w:hAnsiTheme="majorHAnsi"/>
                <w:b/>
                <w:shadow/>
              </w:rPr>
              <w:t>ΣΤΕΡΓΙΟΥ</w:t>
            </w:r>
          </w:p>
          <w:p w:rsidR="003206AE" w:rsidRPr="000F555D" w:rsidRDefault="000F555D">
            <w:pPr>
              <w:pStyle w:val="normal"/>
              <w:widowControl w:val="0"/>
              <w:jc w:val="center"/>
              <w:rPr>
                <w:rFonts w:asciiTheme="majorHAnsi" w:hAnsiTheme="majorHAnsi"/>
                <w:b/>
                <w:shadow/>
              </w:rPr>
            </w:pPr>
            <w:r w:rsidRPr="000F555D">
              <w:rPr>
                <w:rFonts w:asciiTheme="majorHAnsi" w:hAnsiTheme="majorHAnsi"/>
                <w:b/>
                <w:shadow/>
              </w:rPr>
              <w:t>01/01/2011</w:t>
            </w:r>
          </w:p>
          <w:p w:rsidR="003206AE" w:rsidRPr="000F555D" w:rsidRDefault="000F555D">
            <w:pPr>
              <w:pStyle w:val="normal"/>
              <w:widowControl w:val="0"/>
              <w:jc w:val="center"/>
              <w:rPr>
                <w:rFonts w:asciiTheme="majorHAnsi" w:hAnsiTheme="majorHAnsi"/>
                <w:shadow/>
              </w:rPr>
            </w:pPr>
            <w:r w:rsidRPr="000F555D">
              <w:rPr>
                <w:rFonts w:asciiTheme="majorHAnsi" w:hAnsiTheme="majorHAnsi"/>
                <w:b/>
                <w:shadow/>
              </w:rPr>
              <w:t>31/08/2019</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06AE" w:rsidRPr="000F555D" w:rsidRDefault="000F555D">
            <w:pPr>
              <w:pStyle w:val="normal"/>
              <w:widowControl w:val="0"/>
              <w:jc w:val="center"/>
              <w:rPr>
                <w:rFonts w:asciiTheme="majorHAnsi" w:hAnsiTheme="majorHAnsi"/>
                <w:b/>
                <w:shadow/>
              </w:rPr>
            </w:pPr>
            <w:r w:rsidRPr="000F555D">
              <w:rPr>
                <w:rFonts w:asciiTheme="majorHAnsi" w:hAnsiTheme="majorHAnsi"/>
                <w:b/>
                <w:shadow/>
              </w:rPr>
              <w:t>ΚΕΧΑΓΙΑ</w:t>
            </w:r>
          </w:p>
          <w:p w:rsidR="003206AE" w:rsidRPr="000F555D" w:rsidRDefault="000F555D">
            <w:pPr>
              <w:pStyle w:val="normal"/>
              <w:widowControl w:val="0"/>
              <w:jc w:val="center"/>
              <w:rPr>
                <w:rFonts w:asciiTheme="majorHAnsi" w:hAnsiTheme="majorHAnsi"/>
                <w:b/>
                <w:shadow/>
              </w:rPr>
            </w:pPr>
            <w:r w:rsidRPr="000F555D">
              <w:rPr>
                <w:rFonts w:asciiTheme="majorHAnsi" w:hAnsiTheme="majorHAnsi"/>
                <w:b/>
                <w:shadow/>
              </w:rPr>
              <w:t>01/09/2019</w:t>
            </w:r>
          </w:p>
          <w:p w:rsidR="003206AE" w:rsidRPr="000F555D" w:rsidRDefault="000F555D">
            <w:pPr>
              <w:pStyle w:val="normal"/>
              <w:widowControl w:val="0"/>
              <w:jc w:val="center"/>
              <w:rPr>
                <w:rFonts w:asciiTheme="majorHAnsi" w:hAnsiTheme="majorHAnsi"/>
                <w:shadow/>
              </w:rPr>
            </w:pPr>
            <w:r w:rsidRPr="000F555D">
              <w:rPr>
                <w:rFonts w:asciiTheme="majorHAnsi" w:hAnsiTheme="majorHAnsi"/>
                <w:b/>
                <w:shadow/>
              </w:rPr>
              <w:t>31/12/2019</w:t>
            </w:r>
          </w:p>
        </w:tc>
        <w:tc>
          <w:tcPr>
            <w:tcW w:w="3030" w:type="dxa"/>
            <w:gridSpan w:val="2"/>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206AE" w:rsidRPr="000F555D" w:rsidRDefault="000F555D">
            <w:pPr>
              <w:pStyle w:val="normal"/>
              <w:widowControl w:val="0"/>
              <w:jc w:val="center"/>
              <w:rPr>
                <w:rFonts w:asciiTheme="majorHAnsi" w:hAnsiTheme="majorHAnsi"/>
                <w:b/>
                <w:shadow/>
              </w:rPr>
            </w:pPr>
            <w:r w:rsidRPr="000F555D">
              <w:rPr>
                <w:rFonts w:asciiTheme="majorHAnsi" w:hAnsiTheme="majorHAnsi"/>
                <w:b/>
                <w:shadow/>
              </w:rPr>
              <w:t>ΣΥΝΟΛΟ</w:t>
            </w:r>
          </w:p>
        </w:tc>
      </w:tr>
      <w:tr w:rsidR="003206AE" w:rsidRPr="000F555D">
        <w:trPr>
          <w:trHeight w:val="675"/>
        </w:trPr>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206AE" w:rsidRPr="000F555D" w:rsidRDefault="000F555D">
            <w:pPr>
              <w:pStyle w:val="normal"/>
              <w:widowControl w:val="0"/>
              <w:jc w:val="center"/>
              <w:rPr>
                <w:rFonts w:asciiTheme="majorHAnsi" w:hAnsiTheme="majorHAnsi"/>
                <w:shadow/>
              </w:rPr>
            </w:pPr>
            <w:r w:rsidRPr="000F555D">
              <w:rPr>
                <w:rFonts w:asciiTheme="majorHAnsi" w:hAnsiTheme="majorHAnsi"/>
                <w:b/>
                <w:shadow/>
              </w:rPr>
              <w:t>ΕΣΟΔΑ</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3206AE" w:rsidRPr="000F555D" w:rsidRDefault="000F555D">
            <w:pPr>
              <w:pStyle w:val="normal"/>
              <w:widowControl w:val="0"/>
              <w:jc w:val="center"/>
              <w:rPr>
                <w:rFonts w:asciiTheme="majorHAnsi" w:hAnsiTheme="majorHAnsi"/>
                <w:shadow/>
              </w:rPr>
            </w:pPr>
            <w:r w:rsidRPr="000F555D">
              <w:rPr>
                <w:rFonts w:asciiTheme="majorHAnsi" w:hAnsiTheme="majorHAnsi"/>
                <w:shadow/>
              </w:rPr>
              <w:t>1.617.653,83€</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3206AE" w:rsidRPr="000F555D" w:rsidRDefault="000F555D">
            <w:pPr>
              <w:pStyle w:val="normal"/>
              <w:widowControl w:val="0"/>
              <w:jc w:val="center"/>
              <w:rPr>
                <w:rFonts w:asciiTheme="majorHAnsi" w:hAnsiTheme="majorHAnsi"/>
                <w:shadow/>
              </w:rPr>
            </w:pPr>
            <w:r w:rsidRPr="000F555D">
              <w:rPr>
                <w:rFonts w:asciiTheme="majorHAnsi" w:hAnsiTheme="majorHAnsi"/>
                <w:shadow/>
              </w:rPr>
              <w:t>6.378.384,40€</w:t>
            </w:r>
          </w:p>
        </w:tc>
        <w:tc>
          <w:tcPr>
            <w:tcW w:w="18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3206AE" w:rsidRPr="000F555D" w:rsidRDefault="000F555D">
            <w:pPr>
              <w:pStyle w:val="normal"/>
              <w:widowControl w:val="0"/>
              <w:jc w:val="center"/>
              <w:rPr>
                <w:rFonts w:asciiTheme="majorHAnsi" w:hAnsiTheme="majorHAnsi"/>
                <w:shadow/>
              </w:rPr>
            </w:pPr>
            <w:r w:rsidRPr="000F555D">
              <w:rPr>
                <w:rFonts w:asciiTheme="majorHAnsi" w:hAnsiTheme="majorHAnsi"/>
                <w:shadow/>
              </w:rPr>
              <w:t>220.876,38€</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3206AE" w:rsidRPr="000F555D" w:rsidRDefault="000F555D">
            <w:pPr>
              <w:pStyle w:val="normal"/>
              <w:widowControl w:val="0"/>
              <w:jc w:val="center"/>
              <w:rPr>
                <w:rFonts w:asciiTheme="majorHAnsi" w:hAnsiTheme="majorHAnsi"/>
                <w:shadow/>
              </w:rPr>
            </w:pPr>
            <w:r w:rsidRPr="000F555D">
              <w:rPr>
                <w:rFonts w:asciiTheme="majorHAnsi" w:hAnsiTheme="majorHAnsi"/>
                <w:shadow/>
              </w:rPr>
              <w:t>8.216.914,61€</w:t>
            </w:r>
          </w:p>
        </w:tc>
        <w:tc>
          <w:tcPr>
            <w:tcW w:w="6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3206AE" w:rsidRPr="000F555D" w:rsidRDefault="000F555D">
            <w:pPr>
              <w:pStyle w:val="normal"/>
              <w:widowControl w:val="0"/>
              <w:jc w:val="center"/>
              <w:rPr>
                <w:rFonts w:asciiTheme="majorHAnsi" w:hAnsiTheme="majorHAnsi"/>
                <w:shadow/>
              </w:rPr>
            </w:pPr>
            <w:r w:rsidRPr="000F555D">
              <w:rPr>
                <w:rFonts w:asciiTheme="majorHAnsi" w:hAnsiTheme="majorHAnsi"/>
                <w:b/>
                <w:shadow/>
              </w:rPr>
              <w:t>Α</w:t>
            </w:r>
          </w:p>
        </w:tc>
      </w:tr>
      <w:tr w:rsidR="003206AE" w:rsidRPr="000F555D">
        <w:trPr>
          <w:trHeight w:val="345"/>
        </w:trPr>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206AE" w:rsidRPr="000F555D" w:rsidRDefault="000F555D">
            <w:pPr>
              <w:pStyle w:val="normal"/>
              <w:widowControl w:val="0"/>
              <w:jc w:val="center"/>
              <w:rPr>
                <w:rFonts w:asciiTheme="majorHAnsi" w:hAnsiTheme="majorHAnsi"/>
                <w:b/>
                <w:shadow/>
              </w:rPr>
            </w:pPr>
            <w:r w:rsidRPr="000F555D">
              <w:rPr>
                <w:rFonts w:asciiTheme="majorHAnsi" w:hAnsiTheme="majorHAnsi"/>
                <w:b/>
                <w:shadow/>
              </w:rPr>
              <w:t>ΕΞΟΔΑ</w:t>
            </w:r>
          </w:p>
          <w:p w:rsidR="003206AE" w:rsidRPr="000F555D" w:rsidRDefault="000F555D">
            <w:pPr>
              <w:pStyle w:val="normal"/>
              <w:widowControl w:val="0"/>
              <w:jc w:val="center"/>
              <w:rPr>
                <w:rFonts w:asciiTheme="majorHAnsi" w:hAnsiTheme="majorHAnsi"/>
                <w:b/>
                <w:shadow/>
              </w:rPr>
            </w:pPr>
            <w:r w:rsidRPr="000F555D">
              <w:rPr>
                <w:rFonts w:asciiTheme="majorHAnsi" w:hAnsiTheme="majorHAnsi"/>
                <w:b/>
                <w:shadow/>
              </w:rPr>
              <w:t>(αγορά γης)</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3206AE" w:rsidRPr="000F555D" w:rsidRDefault="000F555D">
            <w:pPr>
              <w:pStyle w:val="normal"/>
              <w:widowControl w:val="0"/>
              <w:jc w:val="center"/>
              <w:rPr>
                <w:rFonts w:asciiTheme="majorHAnsi" w:hAnsiTheme="majorHAnsi"/>
                <w:shadow/>
              </w:rPr>
            </w:pPr>
            <w:r w:rsidRPr="000F555D">
              <w:rPr>
                <w:rFonts w:asciiTheme="majorHAnsi" w:hAnsiTheme="majorHAnsi"/>
                <w:shadow/>
              </w:rPr>
              <w:t xml:space="preserve">   612.182,35€</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3206AE" w:rsidRPr="000F555D" w:rsidRDefault="000F555D">
            <w:pPr>
              <w:pStyle w:val="normal"/>
              <w:widowControl w:val="0"/>
              <w:jc w:val="center"/>
              <w:rPr>
                <w:rFonts w:asciiTheme="majorHAnsi" w:hAnsiTheme="majorHAnsi"/>
                <w:shadow/>
              </w:rPr>
            </w:pPr>
            <w:r w:rsidRPr="000F555D">
              <w:rPr>
                <w:rFonts w:asciiTheme="majorHAnsi" w:hAnsiTheme="majorHAnsi"/>
                <w:shadow/>
              </w:rPr>
              <w:t>2.474.131,72€</w:t>
            </w:r>
          </w:p>
        </w:tc>
        <w:tc>
          <w:tcPr>
            <w:tcW w:w="18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3206AE" w:rsidRPr="000F555D" w:rsidRDefault="000F555D">
            <w:pPr>
              <w:pStyle w:val="normal"/>
              <w:widowControl w:val="0"/>
              <w:jc w:val="center"/>
              <w:rPr>
                <w:rFonts w:asciiTheme="majorHAnsi" w:hAnsiTheme="majorHAnsi"/>
                <w:shadow/>
              </w:rPr>
            </w:pPr>
            <w:r w:rsidRPr="000F555D">
              <w:rPr>
                <w:rFonts w:asciiTheme="majorHAnsi" w:hAnsiTheme="majorHAnsi"/>
                <w:shadow/>
              </w:rPr>
              <w:t>0,00€</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3206AE" w:rsidRPr="000F555D" w:rsidRDefault="000F555D">
            <w:pPr>
              <w:pStyle w:val="normal"/>
              <w:widowControl w:val="0"/>
              <w:jc w:val="center"/>
              <w:rPr>
                <w:rFonts w:asciiTheme="majorHAnsi" w:hAnsiTheme="majorHAnsi"/>
                <w:shadow/>
              </w:rPr>
            </w:pPr>
            <w:r w:rsidRPr="000F555D">
              <w:rPr>
                <w:rFonts w:asciiTheme="majorHAnsi" w:hAnsiTheme="majorHAnsi"/>
                <w:shadow/>
              </w:rPr>
              <w:t>3.086.314,07€</w:t>
            </w:r>
          </w:p>
        </w:tc>
        <w:tc>
          <w:tcPr>
            <w:tcW w:w="6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3206AE" w:rsidRPr="000F555D" w:rsidRDefault="000F555D">
            <w:pPr>
              <w:pStyle w:val="normal"/>
              <w:widowControl w:val="0"/>
              <w:jc w:val="center"/>
              <w:rPr>
                <w:rFonts w:asciiTheme="majorHAnsi" w:hAnsiTheme="majorHAnsi"/>
                <w:shadow/>
              </w:rPr>
            </w:pPr>
            <w:r w:rsidRPr="000F555D">
              <w:rPr>
                <w:rFonts w:asciiTheme="majorHAnsi" w:hAnsiTheme="majorHAnsi"/>
                <w:b/>
                <w:shadow/>
              </w:rPr>
              <w:t>Β</w:t>
            </w:r>
          </w:p>
        </w:tc>
      </w:tr>
      <w:tr w:rsidR="003206AE" w:rsidRPr="000F555D">
        <w:trPr>
          <w:trHeight w:val="720"/>
        </w:trPr>
        <w:tc>
          <w:tcPr>
            <w:tcW w:w="7755" w:type="dxa"/>
            <w:gridSpan w:val="4"/>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206AE" w:rsidRPr="000F555D" w:rsidRDefault="000F555D">
            <w:pPr>
              <w:pStyle w:val="normal"/>
              <w:widowControl w:val="0"/>
              <w:jc w:val="center"/>
              <w:rPr>
                <w:rFonts w:asciiTheme="majorHAnsi" w:hAnsiTheme="majorHAnsi"/>
                <w:shadow/>
              </w:rPr>
            </w:pPr>
            <w:r w:rsidRPr="000F555D">
              <w:rPr>
                <w:rFonts w:asciiTheme="majorHAnsi" w:hAnsiTheme="majorHAnsi"/>
                <w:b/>
                <w:shadow/>
              </w:rPr>
              <w:t>ΛΟΓΙΣΤΙΚΟ ΥΠΟΛΟΙΠΟ 31/12/2019 (Α-Β)</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3206AE" w:rsidRPr="000F555D" w:rsidRDefault="000F555D">
            <w:pPr>
              <w:pStyle w:val="normal"/>
              <w:widowControl w:val="0"/>
              <w:jc w:val="center"/>
              <w:rPr>
                <w:rFonts w:asciiTheme="majorHAnsi" w:hAnsiTheme="majorHAnsi"/>
                <w:shadow/>
              </w:rPr>
            </w:pPr>
            <w:r w:rsidRPr="000F555D">
              <w:rPr>
                <w:rFonts w:asciiTheme="majorHAnsi" w:hAnsiTheme="majorHAnsi"/>
                <w:shadow/>
              </w:rPr>
              <w:t>5.130.600,54€</w:t>
            </w:r>
          </w:p>
        </w:tc>
        <w:tc>
          <w:tcPr>
            <w:tcW w:w="6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3206AE" w:rsidRPr="000F555D" w:rsidRDefault="000F555D">
            <w:pPr>
              <w:pStyle w:val="normal"/>
              <w:widowControl w:val="0"/>
              <w:jc w:val="center"/>
              <w:rPr>
                <w:rFonts w:asciiTheme="majorHAnsi" w:hAnsiTheme="majorHAnsi"/>
                <w:shadow/>
              </w:rPr>
            </w:pPr>
            <w:r w:rsidRPr="000F555D">
              <w:rPr>
                <w:rFonts w:asciiTheme="majorHAnsi" w:hAnsiTheme="majorHAnsi"/>
                <w:b/>
                <w:shadow/>
              </w:rPr>
              <w:t>Γ</w:t>
            </w:r>
          </w:p>
        </w:tc>
      </w:tr>
      <w:tr w:rsidR="003206AE" w:rsidRPr="000F555D">
        <w:trPr>
          <w:trHeight w:val="675"/>
        </w:trPr>
        <w:tc>
          <w:tcPr>
            <w:tcW w:w="7755" w:type="dxa"/>
            <w:gridSpan w:val="4"/>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206AE" w:rsidRPr="000F555D" w:rsidRDefault="000F555D">
            <w:pPr>
              <w:pStyle w:val="normal"/>
              <w:widowControl w:val="0"/>
              <w:jc w:val="center"/>
              <w:rPr>
                <w:rFonts w:asciiTheme="majorHAnsi" w:hAnsiTheme="majorHAnsi"/>
                <w:shadow/>
              </w:rPr>
            </w:pPr>
            <w:r w:rsidRPr="000F555D">
              <w:rPr>
                <w:rFonts w:asciiTheme="majorHAnsi" w:hAnsiTheme="majorHAnsi"/>
                <w:b/>
                <w:shadow/>
              </w:rPr>
              <w:t>ΤΑΜΕΙΑΚΟ ΥΠΟΛΟΙΠΟ 31/12/2019</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3206AE" w:rsidRPr="000F555D" w:rsidRDefault="000F555D">
            <w:pPr>
              <w:pStyle w:val="normal"/>
              <w:widowControl w:val="0"/>
              <w:jc w:val="center"/>
              <w:rPr>
                <w:rFonts w:asciiTheme="majorHAnsi" w:hAnsiTheme="majorHAnsi"/>
                <w:shadow/>
              </w:rPr>
            </w:pPr>
            <w:r w:rsidRPr="000F555D">
              <w:rPr>
                <w:rFonts w:asciiTheme="majorHAnsi" w:hAnsiTheme="majorHAnsi"/>
                <w:shadow/>
              </w:rPr>
              <w:t>2.879.656,08€</w:t>
            </w:r>
          </w:p>
        </w:tc>
        <w:tc>
          <w:tcPr>
            <w:tcW w:w="6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3206AE" w:rsidRPr="000F555D" w:rsidRDefault="000F555D">
            <w:pPr>
              <w:pStyle w:val="normal"/>
              <w:widowControl w:val="0"/>
              <w:jc w:val="center"/>
              <w:rPr>
                <w:rFonts w:asciiTheme="majorHAnsi" w:hAnsiTheme="majorHAnsi"/>
                <w:shadow/>
              </w:rPr>
            </w:pPr>
            <w:r w:rsidRPr="000F555D">
              <w:rPr>
                <w:rFonts w:asciiTheme="majorHAnsi" w:hAnsiTheme="majorHAnsi"/>
                <w:b/>
                <w:shadow/>
              </w:rPr>
              <w:t>Δ</w:t>
            </w:r>
          </w:p>
        </w:tc>
      </w:tr>
      <w:tr w:rsidR="003206AE" w:rsidRPr="000F555D">
        <w:trPr>
          <w:trHeight w:val="750"/>
        </w:trPr>
        <w:tc>
          <w:tcPr>
            <w:tcW w:w="7755" w:type="dxa"/>
            <w:gridSpan w:val="4"/>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206AE" w:rsidRPr="000F555D" w:rsidRDefault="000F555D">
            <w:pPr>
              <w:pStyle w:val="normal"/>
              <w:widowControl w:val="0"/>
              <w:jc w:val="center"/>
              <w:rPr>
                <w:rFonts w:asciiTheme="majorHAnsi" w:hAnsiTheme="majorHAnsi"/>
                <w:shadow/>
              </w:rPr>
            </w:pPr>
            <w:r w:rsidRPr="000F555D">
              <w:rPr>
                <w:rFonts w:asciiTheme="majorHAnsi" w:hAnsiTheme="majorHAnsi"/>
                <w:b/>
                <w:shadow/>
              </w:rPr>
              <w:t>ΕΛΛΕΙΜΜΑ 31/12/2019 (Γ-Δ)</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3206AE" w:rsidRPr="000F555D" w:rsidRDefault="000F555D">
            <w:pPr>
              <w:pStyle w:val="normal"/>
              <w:widowControl w:val="0"/>
              <w:jc w:val="center"/>
              <w:rPr>
                <w:rFonts w:asciiTheme="majorHAnsi" w:hAnsiTheme="majorHAnsi"/>
                <w:b/>
                <w:shadow/>
              </w:rPr>
            </w:pPr>
            <w:r w:rsidRPr="000F555D">
              <w:rPr>
                <w:rFonts w:asciiTheme="majorHAnsi" w:hAnsiTheme="majorHAnsi"/>
                <w:b/>
                <w:shadow/>
              </w:rPr>
              <w:t>2.250.944,46€</w:t>
            </w:r>
          </w:p>
        </w:tc>
        <w:tc>
          <w:tcPr>
            <w:tcW w:w="6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3206AE" w:rsidRPr="000F555D" w:rsidRDefault="000F555D">
            <w:pPr>
              <w:pStyle w:val="normal"/>
              <w:widowControl w:val="0"/>
              <w:jc w:val="center"/>
              <w:rPr>
                <w:rFonts w:asciiTheme="majorHAnsi" w:hAnsiTheme="majorHAnsi"/>
                <w:b/>
                <w:shadow/>
              </w:rPr>
            </w:pPr>
            <w:r w:rsidRPr="000F555D">
              <w:rPr>
                <w:rFonts w:asciiTheme="majorHAnsi" w:hAnsiTheme="majorHAnsi"/>
                <w:b/>
                <w:shadow/>
              </w:rPr>
              <w:t>Ε</w:t>
            </w:r>
          </w:p>
        </w:tc>
      </w:tr>
    </w:tbl>
    <w:p w:rsidR="003206AE" w:rsidRPr="000F555D" w:rsidRDefault="003206AE">
      <w:pPr>
        <w:pStyle w:val="normal"/>
        <w:spacing w:line="360" w:lineRule="auto"/>
        <w:ind w:left="141" w:right="-1"/>
        <w:jc w:val="both"/>
        <w:rPr>
          <w:rFonts w:asciiTheme="majorHAnsi" w:hAnsiTheme="majorHAnsi"/>
          <w:shadow/>
        </w:rPr>
      </w:pPr>
    </w:p>
    <w:p w:rsidR="003206AE" w:rsidRPr="000F555D" w:rsidRDefault="003206AE">
      <w:pPr>
        <w:pStyle w:val="normal"/>
        <w:spacing w:line="360" w:lineRule="auto"/>
        <w:ind w:left="141" w:right="-1"/>
        <w:jc w:val="both"/>
        <w:rPr>
          <w:rFonts w:asciiTheme="majorHAnsi" w:hAnsiTheme="majorHAnsi"/>
          <w:shadow/>
        </w:rPr>
      </w:pPr>
    </w:p>
    <w:p w:rsidR="003206AE" w:rsidRPr="000F555D" w:rsidRDefault="000F555D">
      <w:pPr>
        <w:pStyle w:val="normal"/>
        <w:spacing w:line="360" w:lineRule="auto"/>
        <w:ind w:left="141" w:right="-1"/>
        <w:jc w:val="both"/>
        <w:rPr>
          <w:rFonts w:asciiTheme="majorHAnsi" w:hAnsiTheme="majorHAnsi"/>
          <w:shadow/>
        </w:rPr>
      </w:pPr>
      <w:r w:rsidRPr="000F555D">
        <w:rPr>
          <w:rFonts w:asciiTheme="majorHAnsi" w:hAnsiTheme="majorHAnsi"/>
          <w:shadow/>
        </w:rPr>
        <w:t>Αξίζει να υπενθυμίσουμε ότι η διάθεση των ανταποδοτικών εσόδων για την κάλυψη άλλων δαπανών απαγορεύεται (</w:t>
      </w:r>
      <w:hyperlink r:id="rId11">
        <w:r w:rsidRPr="000F555D">
          <w:rPr>
            <w:rFonts w:asciiTheme="majorHAnsi" w:hAnsiTheme="majorHAnsi"/>
            <w:shadow/>
            <w:color w:val="1155CC"/>
            <w:u w:val="single"/>
          </w:rPr>
          <w:t>άρθρο 86 Β.Δ. 24/10/1958  ΦΕΚ 171/Α/24-10-1958)</w:t>
        </w:r>
      </w:hyperlink>
      <w:r w:rsidRPr="000F555D">
        <w:rPr>
          <w:rFonts w:asciiTheme="majorHAnsi" w:hAnsiTheme="majorHAnsi"/>
          <w:shadow/>
        </w:rPr>
        <w:t xml:space="preserve">. </w:t>
      </w:r>
      <w:r w:rsidRPr="000F555D">
        <w:rPr>
          <w:rFonts w:asciiTheme="majorHAnsi" w:hAnsiTheme="majorHAnsi"/>
          <w:b/>
          <w:shadow/>
        </w:rPr>
        <w:t>Η κατ’ εξακολούθηση χρήση των εσόδων του ανταποδοτικού τέλους 0,50€/τ.μ. για άλλους σκοπούς και η δημιουργία του σχετικού ελλείμματος ( -</w:t>
      </w:r>
      <w:r w:rsidRPr="000F555D">
        <w:rPr>
          <w:rFonts w:asciiTheme="majorHAnsi" w:hAnsiTheme="majorHAnsi"/>
          <w:b/>
          <w:shadow/>
        </w:rPr>
        <w:t>2.250.944,46</w:t>
      </w:r>
      <w:r w:rsidRPr="000F555D">
        <w:rPr>
          <w:rFonts w:asciiTheme="majorHAnsi" w:hAnsiTheme="majorHAnsi"/>
          <w:b/>
          <w:shadow/>
        </w:rPr>
        <w:t xml:space="preserve"> €) μόνο ως διαχρονικός εσωτερικός δανεισμός μπορεί να χαρ</w:t>
      </w:r>
      <w:r w:rsidRPr="000F555D">
        <w:rPr>
          <w:rFonts w:asciiTheme="majorHAnsi" w:hAnsiTheme="majorHAnsi"/>
          <w:b/>
          <w:shadow/>
        </w:rPr>
        <w:t xml:space="preserve">ακτηριστεί  και η υποχρέωση αποκατάστασής του στο ακέραιο και μηδενισμού του σχετικού ελλείμματος είναι επιβεβλημένη. </w:t>
      </w:r>
      <w:r w:rsidRPr="000F555D">
        <w:rPr>
          <w:rFonts w:asciiTheme="majorHAnsi" w:hAnsiTheme="majorHAnsi"/>
          <w:shadow/>
        </w:rPr>
        <w:t xml:space="preserve"> </w:t>
      </w:r>
    </w:p>
    <w:p w:rsidR="003206AE" w:rsidRPr="000F555D" w:rsidRDefault="000F555D">
      <w:pPr>
        <w:pStyle w:val="normal"/>
        <w:spacing w:line="360" w:lineRule="auto"/>
        <w:ind w:left="141" w:right="-1"/>
        <w:jc w:val="both"/>
        <w:rPr>
          <w:rFonts w:asciiTheme="majorHAnsi" w:hAnsiTheme="majorHAnsi"/>
          <w:shadow/>
        </w:rPr>
      </w:pPr>
      <w:r w:rsidRPr="000F555D">
        <w:rPr>
          <w:rFonts w:asciiTheme="majorHAnsi" w:hAnsiTheme="majorHAnsi"/>
          <w:shadow/>
        </w:rPr>
        <w:t>Η έλλειψη ελεύθερων χώρων για πράσινο, παιδικές χαρές, θέσεις στάθμευσης αλλά και για κοινωφελείς χώρους είναι παραπάνω από εμφανής στην</w:t>
      </w:r>
      <w:r w:rsidRPr="000F555D">
        <w:rPr>
          <w:rFonts w:asciiTheme="majorHAnsi" w:hAnsiTheme="majorHAnsi"/>
          <w:shadow/>
        </w:rPr>
        <w:t xml:space="preserve"> περιοχή των Μελισσίων. Η αξιοποίηση του συγκεκριμένου τέλους για τον πραγματικό σκοπό της επιβολής του αλλά και η προστασία και του τελευταίου ευρώ που εισπράχθηκε για αυτό τον λόγο αποτελεί βασική προεκλογική δέσμευση του συνδυασμού μας “ΠΕΝΤΕΛΗ 2020 - Π</w:t>
      </w:r>
      <w:r w:rsidRPr="000F555D">
        <w:rPr>
          <w:rFonts w:asciiTheme="majorHAnsi" w:hAnsiTheme="majorHAnsi"/>
          <w:shadow/>
        </w:rPr>
        <w:t>ΡΑΣΙΝΗ ΕΞΥΠΝΗ ΔΗΜΟΚΡΑΤΙΚΗ ΠΟΛΗ”, αλλά και προγραμματική συμφωνία για τη συνεργασία μας με το συνδυασμό της Συμπολιτείας και τη Δήμαρχο Δ. Κεχαγιά. Μια προγραμματική συμφωνία που σχεδιάστηκε να υλοποιηθεί σε τέσσερα βήματα:</w:t>
      </w:r>
    </w:p>
    <w:p w:rsidR="003206AE" w:rsidRPr="000F555D" w:rsidRDefault="000F555D">
      <w:pPr>
        <w:pStyle w:val="normal"/>
        <w:numPr>
          <w:ilvl w:val="0"/>
          <w:numId w:val="1"/>
        </w:numPr>
        <w:spacing w:line="360" w:lineRule="auto"/>
        <w:ind w:right="-1"/>
        <w:jc w:val="both"/>
        <w:rPr>
          <w:rFonts w:asciiTheme="majorHAnsi" w:hAnsiTheme="majorHAnsi"/>
          <w:shadow/>
        </w:rPr>
      </w:pPr>
      <w:r w:rsidRPr="000F555D">
        <w:rPr>
          <w:rFonts w:asciiTheme="majorHAnsi" w:hAnsiTheme="majorHAnsi"/>
          <w:shadow/>
        </w:rPr>
        <w:t>Την πραγματική αποτύπωση του ταμε</w:t>
      </w:r>
      <w:r w:rsidRPr="000F555D">
        <w:rPr>
          <w:rFonts w:asciiTheme="majorHAnsi" w:hAnsiTheme="majorHAnsi"/>
          <w:shadow/>
        </w:rPr>
        <w:t>ιακού υπολοίπου του ανταποδοτικού τέλους 0,50€/τ.μ. σε ξεχωριστό κωδικό στον προϋπολογισμό εσόδων και την δημιουργία αντίστοιχου κωδικού εξόδων για την αγορά γης στα Μελίσσια (ΥΛΟΠΟΙΗΘΗΚΕ ΗΔΗ βλέπε ΚΑ 30-7111.001 και ΚΑ 5113 στους Προϋπολογισμούς 2020 (ΑΔΑ</w:t>
      </w:r>
      <w:r w:rsidRPr="000F555D">
        <w:rPr>
          <w:rFonts w:asciiTheme="majorHAnsi" w:hAnsiTheme="majorHAnsi"/>
          <w:shadow/>
        </w:rPr>
        <w:t xml:space="preserve"> </w:t>
      </w:r>
      <w:hyperlink r:id="rId12">
        <w:r w:rsidRPr="000F555D">
          <w:rPr>
            <w:rFonts w:asciiTheme="majorHAnsi" w:hAnsiTheme="majorHAnsi"/>
            <w:shadow/>
            <w:color w:val="1155CC"/>
            <w:u w:val="single"/>
          </w:rPr>
          <w:t>ΨΨ00ΩΞ3-1ΩΩ</w:t>
        </w:r>
      </w:hyperlink>
      <w:r w:rsidRPr="000F555D">
        <w:rPr>
          <w:rFonts w:asciiTheme="majorHAnsi" w:hAnsiTheme="majorHAnsi"/>
          <w:shadow/>
        </w:rPr>
        <w:t xml:space="preserve">) και 2021 (ΑΔΑ </w:t>
      </w:r>
      <w:hyperlink r:id="rId13">
        <w:r w:rsidRPr="000F555D">
          <w:rPr>
            <w:rFonts w:asciiTheme="majorHAnsi" w:hAnsiTheme="majorHAnsi"/>
            <w:shadow/>
            <w:color w:val="1155CC"/>
            <w:u w:val="single"/>
          </w:rPr>
          <w:t>Ω8ΩΟΩΞ3-ΦΒΟ</w:t>
        </w:r>
      </w:hyperlink>
      <w:r w:rsidRPr="000F555D">
        <w:rPr>
          <w:rFonts w:asciiTheme="majorHAnsi" w:hAnsiTheme="majorHAnsi"/>
          <w:shadow/>
        </w:rPr>
        <w:t>) του Δήμ</w:t>
      </w:r>
      <w:r w:rsidRPr="000F555D">
        <w:rPr>
          <w:rFonts w:asciiTheme="majorHAnsi" w:hAnsiTheme="majorHAnsi"/>
          <w:shadow/>
        </w:rPr>
        <w:t>ου Πεντέλης).</w:t>
      </w:r>
    </w:p>
    <w:p w:rsidR="003206AE" w:rsidRPr="000F555D" w:rsidRDefault="000F555D">
      <w:pPr>
        <w:pStyle w:val="normal"/>
        <w:numPr>
          <w:ilvl w:val="0"/>
          <w:numId w:val="1"/>
        </w:numPr>
        <w:spacing w:line="360" w:lineRule="auto"/>
        <w:ind w:right="-1"/>
        <w:jc w:val="both"/>
        <w:rPr>
          <w:rFonts w:asciiTheme="majorHAnsi" w:hAnsiTheme="majorHAnsi"/>
          <w:shadow/>
        </w:rPr>
      </w:pPr>
      <w:r w:rsidRPr="000F555D">
        <w:rPr>
          <w:rFonts w:asciiTheme="majorHAnsi" w:hAnsiTheme="majorHAnsi"/>
          <w:shadow/>
        </w:rPr>
        <w:t>Το άνοιγμα ξεχωριστού τραπεζικού λογαριασμού στο Ταμείο Παρακαταθηκών και Δανείων, αποκλειστικά για το ταμειακό υπόλοιπο του ανταποδοτικού τέλους 0,50€/τ.μ.  (ΥΛΟΠΟΙΗΘΗΚΕ το καλοκαίρι του 2020).</w:t>
      </w:r>
    </w:p>
    <w:p w:rsidR="003206AE" w:rsidRPr="000F555D" w:rsidRDefault="000F555D">
      <w:pPr>
        <w:pStyle w:val="normal"/>
        <w:numPr>
          <w:ilvl w:val="0"/>
          <w:numId w:val="1"/>
        </w:numPr>
        <w:spacing w:line="360" w:lineRule="auto"/>
        <w:ind w:right="-1"/>
        <w:jc w:val="both"/>
        <w:rPr>
          <w:rFonts w:asciiTheme="majorHAnsi" w:hAnsiTheme="majorHAnsi"/>
          <w:shadow/>
        </w:rPr>
      </w:pPr>
      <w:r w:rsidRPr="000F555D">
        <w:rPr>
          <w:rFonts w:asciiTheme="majorHAnsi" w:hAnsiTheme="majorHAnsi"/>
          <w:shadow/>
        </w:rPr>
        <w:lastRenderedPageBreak/>
        <w:t>Τον καθορισμό της διαδικασίας μηδενισμού του ελ</w:t>
      </w:r>
      <w:r w:rsidRPr="000F555D">
        <w:rPr>
          <w:rFonts w:asciiTheme="majorHAnsi" w:hAnsiTheme="majorHAnsi"/>
          <w:shadow/>
        </w:rPr>
        <w:t>λείμματος του ανταποδοτικού τέλους 0,50€/τ.μ., με απόφαση του Δημοτικού Συμβουλίου αμέσως μετά την ψήφιση του Ισολογισμού του 2019, όπου μετά τον σχετικό έλεγχο των Ορκωτών Λογιστών</w:t>
      </w:r>
      <w:r w:rsidRPr="000F555D">
        <w:rPr>
          <w:rFonts w:asciiTheme="majorHAnsi" w:hAnsiTheme="majorHAnsi"/>
          <w:b/>
          <w:shadow/>
        </w:rPr>
        <w:t xml:space="preserve"> θα επιβεβαιωθεί και θα αποτυπωθεί  επακριβώς το σχετικό έλλειμμα</w:t>
      </w:r>
      <w:r w:rsidRPr="000F555D">
        <w:rPr>
          <w:rFonts w:asciiTheme="majorHAnsi" w:hAnsiTheme="majorHAnsi"/>
          <w:shadow/>
        </w:rPr>
        <w:t>.</w:t>
      </w:r>
    </w:p>
    <w:p w:rsidR="003206AE" w:rsidRPr="000F555D" w:rsidRDefault="000F555D">
      <w:pPr>
        <w:pStyle w:val="normal"/>
        <w:numPr>
          <w:ilvl w:val="0"/>
          <w:numId w:val="1"/>
        </w:numPr>
        <w:spacing w:line="360" w:lineRule="auto"/>
        <w:ind w:right="-1"/>
        <w:jc w:val="both"/>
        <w:rPr>
          <w:rFonts w:asciiTheme="majorHAnsi" w:hAnsiTheme="majorHAnsi"/>
          <w:shadow/>
        </w:rPr>
      </w:pPr>
      <w:r w:rsidRPr="000F555D">
        <w:rPr>
          <w:rFonts w:asciiTheme="majorHAnsi" w:hAnsiTheme="majorHAnsi"/>
          <w:shadow/>
        </w:rPr>
        <w:t>Την άμεσ</w:t>
      </w:r>
      <w:r w:rsidRPr="000F555D">
        <w:rPr>
          <w:rFonts w:asciiTheme="majorHAnsi" w:hAnsiTheme="majorHAnsi"/>
          <w:shadow/>
        </w:rPr>
        <w:t>η εκκίνηση της απομείωσης του ελλείμματος, εντός του 2021, μέσα από διαδικασία αναμόρφωσης του Προϋπολογισμού του 2021.</w:t>
      </w:r>
    </w:p>
    <w:p w:rsidR="003206AE" w:rsidRPr="000F555D" w:rsidRDefault="003206AE">
      <w:pPr>
        <w:pStyle w:val="normal"/>
        <w:spacing w:line="360" w:lineRule="auto"/>
        <w:ind w:right="-1"/>
        <w:jc w:val="both"/>
        <w:rPr>
          <w:rFonts w:asciiTheme="majorHAnsi" w:hAnsiTheme="majorHAnsi"/>
          <w:shadow/>
        </w:rPr>
      </w:pPr>
    </w:p>
    <w:p w:rsidR="003206AE" w:rsidRPr="000F555D" w:rsidRDefault="000F555D">
      <w:pPr>
        <w:pStyle w:val="normal"/>
        <w:spacing w:line="360" w:lineRule="auto"/>
        <w:ind w:right="-1"/>
        <w:jc w:val="both"/>
        <w:rPr>
          <w:rFonts w:asciiTheme="majorHAnsi" w:hAnsiTheme="majorHAnsi"/>
          <w:shadow/>
        </w:rPr>
      </w:pPr>
      <w:r w:rsidRPr="000F555D">
        <w:rPr>
          <w:rFonts w:asciiTheme="majorHAnsi" w:hAnsiTheme="majorHAnsi"/>
          <w:shadow/>
        </w:rPr>
        <w:t>Εν αναμονή της ψήφισης του Ισολογισμού του Δήμου Πεντέλης για το 2019 (η οποία έχει καθυστερήσει υπερβολικά και αδικαιολόγητα), ο συνδυ</w:t>
      </w:r>
      <w:r w:rsidRPr="000F555D">
        <w:rPr>
          <w:rFonts w:asciiTheme="majorHAnsi" w:hAnsiTheme="majorHAnsi"/>
          <w:shadow/>
        </w:rPr>
        <w:t>ασμός ΠΕΝΤΕΛΗ 2020 - ΠΡΑΣΙΝΗ ΕΞΥΠΝΗ ΔΗΜΟΚΡΑΤΙΚΗ ΠΟΛΗ είναι έτοιμος να καταθέσει πρόταση προς διαβούλευση με όλους τους δημοτικούς συμβούλους, για την υλοποίηση των βημάτων 3 και 4, δηλαδή για τον μηδενισμό του ελλείμματος του ανταποδοτικού τέλους 0,50€/τ.μ</w:t>
      </w:r>
      <w:r w:rsidRPr="000F555D">
        <w:rPr>
          <w:rFonts w:asciiTheme="majorHAnsi" w:hAnsiTheme="majorHAnsi"/>
          <w:shadow/>
        </w:rPr>
        <w:t>. σε βάθος επταετίας  (έως το τέλος του 2027 οπότε και σταματάει η είσπραξή του) καθώς και την ορθή αξιοποίησή του με αγορά γης στα Μελίσσια.</w:t>
      </w:r>
    </w:p>
    <w:p w:rsidR="003206AE" w:rsidRPr="000F555D" w:rsidRDefault="003206AE">
      <w:pPr>
        <w:pStyle w:val="normal"/>
        <w:spacing w:line="360" w:lineRule="auto"/>
        <w:ind w:left="141" w:right="-1"/>
        <w:jc w:val="both"/>
        <w:rPr>
          <w:rFonts w:asciiTheme="majorHAnsi" w:hAnsiTheme="majorHAnsi"/>
          <w:shadow/>
        </w:rPr>
      </w:pPr>
    </w:p>
    <w:p w:rsidR="003206AE" w:rsidRPr="000F555D" w:rsidRDefault="003206AE">
      <w:pPr>
        <w:pStyle w:val="normal"/>
        <w:spacing w:line="360" w:lineRule="auto"/>
        <w:ind w:left="141" w:right="-1"/>
        <w:jc w:val="center"/>
        <w:rPr>
          <w:rFonts w:asciiTheme="majorHAnsi" w:hAnsiTheme="majorHAnsi"/>
          <w:b/>
          <w:shadow/>
        </w:rPr>
      </w:pPr>
    </w:p>
    <w:p w:rsidR="003206AE" w:rsidRPr="000F555D" w:rsidRDefault="000F555D">
      <w:pPr>
        <w:pStyle w:val="normal"/>
        <w:jc w:val="center"/>
        <w:rPr>
          <w:rFonts w:asciiTheme="majorHAnsi" w:hAnsiTheme="majorHAnsi"/>
          <w:b/>
          <w:shadow/>
        </w:rPr>
      </w:pPr>
      <w:r w:rsidRPr="000F555D">
        <w:rPr>
          <w:rFonts w:asciiTheme="majorHAnsi" w:hAnsiTheme="majorHAnsi"/>
          <w:b/>
          <w:shadow/>
        </w:rPr>
        <w:t>ΑΓΓΕΛΟΣ ΠΑΛΑΙΟΔΗΜΟΣ</w:t>
      </w:r>
    </w:p>
    <w:p w:rsidR="003206AE" w:rsidRPr="000F555D" w:rsidRDefault="000F555D">
      <w:pPr>
        <w:pStyle w:val="normal"/>
        <w:jc w:val="center"/>
        <w:rPr>
          <w:rFonts w:asciiTheme="majorHAnsi" w:hAnsiTheme="majorHAnsi"/>
          <w:b/>
          <w:shadow/>
        </w:rPr>
      </w:pPr>
      <w:r w:rsidRPr="000F555D">
        <w:rPr>
          <w:rFonts w:asciiTheme="majorHAnsi" w:hAnsiTheme="majorHAnsi"/>
          <w:b/>
          <w:shadow/>
        </w:rPr>
        <w:t>ΕΠΙΚΕΦΑΛΗΣ</w:t>
      </w:r>
    </w:p>
    <w:p w:rsidR="003206AE" w:rsidRPr="000F555D" w:rsidRDefault="000F555D">
      <w:pPr>
        <w:pStyle w:val="normal"/>
        <w:jc w:val="center"/>
        <w:rPr>
          <w:rFonts w:asciiTheme="majorHAnsi" w:hAnsiTheme="majorHAnsi"/>
          <w:b/>
          <w:shadow/>
        </w:rPr>
      </w:pPr>
      <w:r w:rsidRPr="000F555D">
        <w:rPr>
          <w:rFonts w:asciiTheme="majorHAnsi" w:hAnsiTheme="majorHAnsi"/>
          <w:b/>
          <w:shadow/>
        </w:rPr>
        <w:t>ΠΕΝΤΕΛΗ 2020 - ΠΡΑΣΙΝΗ ΕΞΥΠΝΗ ΔΗΜΟΚΡΑΤΙΚΗ ΠΟΛΗ</w:t>
      </w:r>
    </w:p>
    <w:sectPr w:rsidR="003206AE" w:rsidRPr="000F555D" w:rsidSect="003206AE">
      <w:pgSz w:w="11909" w:h="16834"/>
      <w:pgMar w:top="1440" w:right="575" w:bottom="1440" w:left="708"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5FE"/>
    <w:multiLevelType w:val="multilevel"/>
    <w:tmpl w:val="55E6BC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8467467"/>
    <w:multiLevelType w:val="multilevel"/>
    <w:tmpl w:val="A5540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206AE"/>
    <w:rsid w:val="000F555D"/>
    <w:rsid w:val="003206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3206AE"/>
    <w:pPr>
      <w:keepNext/>
      <w:keepLines/>
      <w:spacing w:before="400" w:after="120"/>
      <w:outlineLvl w:val="0"/>
    </w:pPr>
    <w:rPr>
      <w:sz w:val="40"/>
      <w:szCs w:val="40"/>
    </w:rPr>
  </w:style>
  <w:style w:type="paragraph" w:styleId="2">
    <w:name w:val="heading 2"/>
    <w:basedOn w:val="normal"/>
    <w:next w:val="normal"/>
    <w:rsid w:val="003206AE"/>
    <w:pPr>
      <w:keepNext/>
      <w:keepLines/>
      <w:spacing w:before="360" w:after="120"/>
      <w:outlineLvl w:val="1"/>
    </w:pPr>
    <w:rPr>
      <w:sz w:val="32"/>
      <w:szCs w:val="32"/>
    </w:rPr>
  </w:style>
  <w:style w:type="paragraph" w:styleId="3">
    <w:name w:val="heading 3"/>
    <w:basedOn w:val="normal"/>
    <w:next w:val="normal"/>
    <w:rsid w:val="003206AE"/>
    <w:pPr>
      <w:keepNext/>
      <w:keepLines/>
      <w:spacing w:before="320" w:after="80"/>
      <w:outlineLvl w:val="2"/>
    </w:pPr>
    <w:rPr>
      <w:color w:val="434343"/>
      <w:sz w:val="28"/>
      <w:szCs w:val="28"/>
    </w:rPr>
  </w:style>
  <w:style w:type="paragraph" w:styleId="4">
    <w:name w:val="heading 4"/>
    <w:basedOn w:val="normal"/>
    <w:next w:val="normal"/>
    <w:rsid w:val="003206AE"/>
    <w:pPr>
      <w:keepNext/>
      <w:keepLines/>
      <w:spacing w:before="280" w:after="80"/>
      <w:outlineLvl w:val="3"/>
    </w:pPr>
    <w:rPr>
      <w:color w:val="666666"/>
      <w:sz w:val="24"/>
      <w:szCs w:val="24"/>
    </w:rPr>
  </w:style>
  <w:style w:type="paragraph" w:styleId="5">
    <w:name w:val="heading 5"/>
    <w:basedOn w:val="normal"/>
    <w:next w:val="normal"/>
    <w:rsid w:val="003206AE"/>
    <w:pPr>
      <w:keepNext/>
      <w:keepLines/>
      <w:spacing w:before="240" w:after="80"/>
      <w:outlineLvl w:val="4"/>
    </w:pPr>
    <w:rPr>
      <w:color w:val="666666"/>
    </w:rPr>
  </w:style>
  <w:style w:type="paragraph" w:styleId="6">
    <w:name w:val="heading 6"/>
    <w:basedOn w:val="normal"/>
    <w:next w:val="normal"/>
    <w:rsid w:val="003206AE"/>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206AE"/>
  </w:style>
  <w:style w:type="table" w:customStyle="1" w:styleId="TableNormal">
    <w:name w:val="Table Normal"/>
    <w:rsid w:val="003206AE"/>
    <w:tblPr>
      <w:tblCellMar>
        <w:top w:w="0" w:type="dxa"/>
        <w:left w:w="0" w:type="dxa"/>
        <w:bottom w:w="0" w:type="dxa"/>
        <w:right w:w="0" w:type="dxa"/>
      </w:tblCellMar>
    </w:tblPr>
  </w:style>
  <w:style w:type="paragraph" w:styleId="a3">
    <w:name w:val="Title"/>
    <w:basedOn w:val="normal"/>
    <w:next w:val="normal"/>
    <w:rsid w:val="003206AE"/>
    <w:pPr>
      <w:keepNext/>
      <w:keepLines/>
      <w:spacing w:after="60"/>
    </w:pPr>
    <w:rPr>
      <w:sz w:val="52"/>
      <w:szCs w:val="52"/>
    </w:rPr>
  </w:style>
  <w:style w:type="paragraph" w:styleId="a4">
    <w:name w:val="Subtitle"/>
    <w:basedOn w:val="normal"/>
    <w:next w:val="normal"/>
    <w:rsid w:val="003206AE"/>
    <w:pPr>
      <w:keepNext/>
      <w:keepLines/>
      <w:spacing w:after="320"/>
    </w:pPr>
    <w:rPr>
      <w:color w:val="666666"/>
      <w:sz w:val="30"/>
      <w:szCs w:val="30"/>
    </w:rPr>
  </w:style>
  <w:style w:type="table" w:customStyle="1" w:styleId="a5">
    <w:basedOn w:val="TableNormal"/>
    <w:rsid w:val="003206AE"/>
    <w:tblPr>
      <w:tblStyleRowBandSize w:val="1"/>
      <w:tblStyleColBandSize w:val="1"/>
      <w:tblCellMar>
        <w:top w:w="100" w:type="dxa"/>
        <w:left w:w="100" w:type="dxa"/>
        <w:bottom w:w="100" w:type="dxa"/>
        <w:right w:w="100" w:type="dxa"/>
      </w:tblCellMar>
    </w:tblPr>
  </w:style>
  <w:style w:type="paragraph" w:styleId="a6">
    <w:name w:val="Balloon Text"/>
    <w:basedOn w:val="a"/>
    <w:link w:val="Char"/>
    <w:uiPriority w:val="99"/>
    <w:semiHidden/>
    <w:unhideWhenUsed/>
    <w:rsid w:val="000F555D"/>
    <w:pPr>
      <w:spacing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F55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penteli2020.gr/post/proypologismos-1" TargetMode="External"/><Relationship Id="rId13" Type="http://schemas.openxmlformats.org/officeDocument/2006/relationships/hyperlink" Target="https://diavgeia.gov.gr/doc/%CE%A98%CE%A9%CE%9F%CE%A9%CE%9E3-%CE%A6%CE%92%CE%9F?inline=true" TargetMode="External"/><Relationship Id="rId3" Type="http://schemas.openxmlformats.org/officeDocument/2006/relationships/settings" Target="settings.xml"/><Relationship Id="rId7" Type="http://schemas.openxmlformats.org/officeDocument/2006/relationships/hyperlink" Target="https://www.penteli2020.gr/post/anamorfosi01" TargetMode="External"/><Relationship Id="rId12" Type="http://schemas.openxmlformats.org/officeDocument/2006/relationships/hyperlink" Target="https://diavgeia.gov.gr/doc/%CE%A8%CE%A800%CE%A9%CE%9E3-1%CE%A9%CE%A9?inline=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nteli2020.gr/post/proypologismos" TargetMode="External"/><Relationship Id="rId11" Type="http://schemas.openxmlformats.org/officeDocument/2006/relationships/hyperlink" Target="https://www.kodiko.gr/nomologia/download_fek?f=fek/1958/a/fek_a_171_1958.pdf&amp;t=780cfeab147252c481abbe7c34189493" TargetMode="External"/><Relationship Id="rId5" Type="http://schemas.openxmlformats.org/officeDocument/2006/relationships/hyperlink" Target="https://drive.google.com/file/d/1x3XqGjgV0FeeifK8If5xELEq4N1UgplU/view?usp=sharing" TargetMode="External"/><Relationship Id="rId15" Type="http://schemas.openxmlformats.org/officeDocument/2006/relationships/theme" Target="theme/theme1.xml"/><Relationship Id="rId10" Type="http://schemas.openxmlformats.org/officeDocument/2006/relationships/hyperlink" Target="https://drive.google.com/file/d/1eZFhsYJvAEfTkobYK73X25nrwRlcTQ11/view?usp=sharing" TargetMode="External"/><Relationship Id="rId4" Type="http://schemas.openxmlformats.org/officeDocument/2006/relationships/webSettings" Target="webSettings.xml"/><Relationship Id="rId9" Type="http://schemas.openxmlformats.org/officeDocument/2006/relationships/hyperlink" Target="https://drive.google.com/file/d/1JMmkR1jotwqD-WhbYcb5NwRqDGgbkumg/view?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5541</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2021-04-19T20:14:00Z</dcterms:created>
  <dcterms:modified xsi:type="dcterms:W3CDTF">2021-04-19T20:14:00Z</dcterms:modified>
</cp:coreProperties>
</file>